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FA" w:rsidRPr="00A059FA" w:rsidRDefault="00A059FA" w:rsidP="00A059FA">
      <w:pPr>
        <w:spacing w:before="90"/>
        <w:jc w:val="center"/>
        <w:rPr>
          <w:sz w:val="24"/>
          <w:szCs w:val="24"/>
        </w:rPr>
      </w:pPr>
      <w:bookmarkStart w:id="0" w:name="_GoBack"/>
      <w:r w:rsidRPr="00A059FA">
        <w:rPr>
          <w:noProof/>
          <w:sz w:val="24"/>
          <w:szCs w:val="24"/>
          <w:lang w:val="en-US" w:eastAsia="en-US"/>
        </w:rPr>
        <w:drawing>
          <wp:inline distT="0" distB="0" distL="0" distR="0" wp14:anchorId="10FEE139" wp14:editId="1D12F019">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bookmarkEnd w:id="0"/>
    <w:p w:rsidR="00A059FA" w:rsidRPr="00A059FA" w:rsidRDefault="00A059FA" w:rsidP="00A059FA">
      <w:pPr>
        <w:spacing w:after="0"/>
        <w:jc w:val="center"/>
        <w:rPr>
          <w:sz w:val="24"/>
          <w:szCs w:val="24"/>
        </w:rPr>
      </w:pPr>
      <w:r w:rsidRPr="00A059FA">
        <w:rPr>
          <w:rFonts w:ascii="Bookman Old Style" w:hAnsi="Bookman Old Style"/>
          <w:spacing w:val="-2"/>
          <w:sz w:val="24"/>
          <w:szCs w:val="24"/>
          <w:lang w:val="sv-SE"/>
        </w:rPr>
        <w:t>MENTERI KEUANGAN</w:t>
      </w:r>
    </w:p>
    <w:p w:rsidR="00A059FA" w:rsidRPr="00A059FA" w:rsidRDefault="00A059FA" w:rsidP="00A059FA">
      <w:pPr>
        <w:spacing w:before="90"/>
        <w:jc w:val="center"/>
        <w:rPr>
          <w:sz w:val="24"/>
          <w:szCs w:val="24"/>
        </w:rPr>
      </w:pPr>
      <w:r w:rsidRPr="00A059FA">
        <w:rPr>
          <w:rFonts w:ascii="Bookman Old Style" w:hAnsi="Bookman Old Style"/>
          <w:sz w:val="24"/>
          <w:szCs w:val="24"/>
          <w:lang w:val="sv-SE"/>
        </w:rPr>
        <w:t>REPUBLIK INDONESIA</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SALINAN</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PERATURAN MENTERI KEUANGAN REPUBLIK INDONESIA</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br/>
        <w:t>NOMOR 52/PMK.02/2014</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br/>
        <w:t>TENTANG</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br/>
        <w:t>PERUBAHAN ATAS PERATURAN MENTERI KEUANGAN</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NOMOR 72/PMK.02/2013 TENTANG STANDAR BIAYA MASUKAN</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TAHUN ANGGARAN 2014</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br/>
        <w:t>DENGAN RAHMAT TUHAN YANG MAHA ESA</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6"/>
        <w:gridCol w:w="128"/>
        <w:gridCol w:w="257"/>
        <w:gridCol w:w="668"/>
        <w:gridCol w:w="518"/>
        <w:gridCol w:w="3539"/>
        <w:gridCol w:w="3555"/>
      </w:tblGrid>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Menimbang</w:t>
            </w: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w:t>
            </w: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bahwa dalam rangka melaksanakan ketentuan Pasal 5 ayat (5) Peraturan Pemerintah Nomor 90 Tahun 2010 tentang Penyusunan Rencana Kerja Dan Anggaran Kementerian Negara/Lembaga dan Pasal 5 ayat (2) Peraturan Menteri Keuangan Nomor 71/PMK.02/2013 tentang Pedoman Standar Biaya, Standar Struktur Biaya, Dan Indeksasi Dalam Penyusunan Rencana Kerja Dan Anggaran Kementerian Negara/Lembaga, telah ditetapkan Peraturan Menteri Keuangan Nomor 72/PMK.02/2013 tentang Standar Biaya Masukan Tahun Anggaran 2014;</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bahwa dalam rangka menindaklanjuti hasil rapat koordinasi mengenai pembatasan honorarium tim pelaksana kegiatan yang dipimpin oleh Wakil Presiden Republik Indonesia dan menindaklanjuti usulan penetapan Satuan Biaya Operasional Khusus Kepala Perwakilan RI di Luar Negeri yang disampaikan oleh Kementerian Luar Negeri serta untuk mengakomodir beberapa penyempurnaan satuan biaya yang ditetapkan dalam Peraturan Menteri Keuangan Nomor 72/PMK.02/2013, perlu dilakukan perubahan atas Peraturan Menteri Keuangan Nomor 72/PMK.02/2013 tentang Standar Biaya Masukan Tahun Anggaran 2014;</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bahwa berdasarkan pertimbangan sebagaimana dimaksud dalam huruf a dan huruf b, perlu menetapkan Peraturan Menteri Keuangan tentang Perubahan Atas Peraturan Menteri Keuangan Nomor 72/PMK.02/2013 tentang Standar Biaya Masukan Tahun Anggaran 2014;</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0" w:type="auto"/>
            <w:gridSpan w:val="4"/>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Mengingat</w:t>
            </w: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w:t>
            </w: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hyperlink r:id="rId9" w:history="1">
              <w:r w:rsidRPr="00A059FA">
                <w:rPr>
                  <w:rStyle w:val="Hyperlink"/>
                  <w:rFonts w:ascii="Bookman Old Style" w:hAnsi="Bookman Old Style"/>
                  <w:sz w:val="22"/>
                </w:rPr>
                <w:t>Peraturan Pemerintah Nomor 90 Tahun 2010</w:t>
              </w:r>
            </w:hyperlink>
            <w:r w:rsidRPr="00A059FA">
              <w:rPr>
                <w:rFonts w:ascii="Bookman Old Style" w:hAnsi="Bookman Old Style"/>
                <w:sz w:val="22"/>
              </w:rPr>
              <w:t xml:space="preserve"> tentang Penyusunan Rencana Kerja Dan Anggaran Kementerian Negara/Lembaga (Lembaran Negara Republik Indonesia Tahun 2010 Nomor 152, Tambahan Lembaran </w:t>
            </w:r>
            <w:r w:rsidRPr="00A059FA">
              <w:rPr>
                <w:rFonts w:ascii="Bookman Old Style" w:hAnsi="Bookman Old Style"/>
                <w:sz w:val="22"/>
              </w:rPr>
              <w:lastRenderedPageBreak/>
              <w:t>Negara Republik Indonesia Nomor 5178);</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2.</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hyperlink r:id="rId10" w:history="1">
              <w:r w:rsidRPr="00A059FA">
                <w:rPr>
                  <w:rStyle w:val="Hyperlink"/>
                  <w:rFonts w:ascii="Bookman Old Style" w:hAnsi="Bookman Old Style"/>
                  <w:sz w:val="22"/>
                </w:rPr>
                <w:t>Peraturan Menteri Keuangan Nomor 71/PMK.02/2013</w:t>
              </w:r>
            </w:hyperlink>
            <w:r w:rsidRPr="00A059FA">
              <w:rPr>
                <w:rFonts w:ascii="Bookman Old Style" w:hAnsi="Bookman Old Style"/>
                <w:sz w:val="22"/>
              </w:rPr>
              <w:t xml:space="preserve"> tentang Pedoman Standar Biaya, Standar Struktur Biaya, Dan Indeksasi Dalam Penyusunan Rencana Kerja Dan Anggaran Kementerian Negara/Lembaga sebagaimana telah diubah dengan Peraturan Menteri Keuangan Nomor: 51/PMK.02/2014;</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3.</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hyperlink r:id="rId11" w:history="1">
              <w:r w:rsidRPr="00A059FA">
                <w:rPr>
                  <w:rStyle w:val="Hyperlink"/>
                  <w:rFonts w:ascii="Bookman Old Style" w:hAnsi="Bookman Old Style"/>
                  <w:sz w:val="22"/>
                </w:rPr>
                <w:t>Peraturan Menteri Keuangan Nomor 72/PMK.02/2013</w:t>
              </w:r>
            </w:hyperlink>
            <w:r w:rsidRPr="00A059FA">
              <w:rPr>
                <w:rFonts w:ascii="Bookman Old Style" w:hAnsi="Bookman Old Style"/>
                <w:sz w:val="22"/>
              </w:rPr>
              <w:t xml:space="preserve"> tentang Standar Biaya Masukan Tahun Anggaran 2014;</w:t>
            </w:r>
          </w:p>
        </w:tc>
      </w:tr>
      <w:tr w:rsidR="00A059FA" w:rsidRPr="00A059FA" w:rsidTr="00A059FA">
        <w:trPr>
          <w:tblCellSpacing w:w="15" w:type="dxa"/>
        </w:trPr>
        <w:tc>
          <w:tcPr>
            <w:tcW w:w="0" w:type="auto"/>
            <w:gridSpan w:val="7"/>
            <w:tcBorders>
              <w:top w:val="nil"/>
              <w:left w:val="nil"/>
              <w:bottom w:val="nil"/>
              <w:right w:val="nil"/>
            </w:tcBorders>
            <w:hideMark/>
          </w:tcPr>
          <w:p w:rsidR="00A059FA" w:rsidRPr="00A059FA" w:rsidRDefault="00A059FA" w:rsidP="00A059FA">
            <w:pPr>
              <w:jc w:val="center"/>
              <w:rPr>
                <w:szCs w:val="24"/>
              </w:rPr>
            </w:pPr>
          </w:p>
        </w:tc>
      </w:tr>
      <w:tr w:rsidR="00A059FA" w:rsidRPr="00A059FA" w:rsidTr="00A059FA">
        <w:trPr>
          <w:tblCellSpacing w:w="15" w:type="dxa"/>
        </w:trPr>
        <w:tc>
          <w:tcPr>
            <w:tcW w:w="0" w:type="auto"/>
            <w:gridSpan w:val="7"/>
            <w:tcBorders>
              <w:top w:val="nil"/>
              <w:left w:val="nil"/>
              <w:bottom w:val="nil"/>
              <w:right w:val="nil"/>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MEMUTUSKAN:</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0" w:type="auto"/>
            <w:gridSpan w:val="5"/>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Menetapkan</w:t>
            </w: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w:t>
            </w:r>
          </w:p>
        </w:tc>
        <w:tc>
          <w:tcPr>
            <w:tcW w:w="0" w:type="auto"/>
            <w:gridSpan w:val="5"/>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PERATURAN MENTERI KEUANGAN TENTANG PERUBAHAN ATAS PERATURAN MENTERI KEUANGAN NOMOR 72/PMK.02/2013 TENTANG STANDAR BIAYA MASUKAN TAHUN ANGGARAN 2014.</w:t>
            </w:r>
          </w:p>
        </w:tc>
      </w:tr>
      <w:tr w:rsidR="00A059FA" w:rsidRPr="00A059FA" w:rsidTr="00A059FA">
        <w:trPr>
          <w:tblCellSpacing w:w="15" w:type="dxa"/>
        </w:trPr>
        <w:tc>
          <w:tcPr>
            <w:tcW w:w="0" w:type="auto"/>
            <w:gridSpan w:val="7"/>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0" w:type="auto"/>
            <w:gridSpan w:val="7"/>
            <w:tcBorders>
              <w:top w:val="nil"/>
              <w:left w:val="nil"/>
              <w:bottom w:val="nil"/>
              <w:right w:val="nil"/>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Pasal I</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0" w:type="auto"/>
            <w:gridSpan w:val="5"/>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Beberapa ketentuan dalam Peraturan Menteri Keuangan Nomor 72/PMK.02/2013 tentang Standar Biaya Masukan Tahun Anggaran 2014, diubah sebagai berikut:</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0" w:type="auto"/>
            <w:gridSpan w:val="5"/>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w:t>
            </w:r>
          </w:p>
        </w:tc>
        <w:tc>
          <w:tcPr>
            <w:tcW w:w="0" w:type="auto"/>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Menambah 2 (dua) angka dalam Lampiran I Peraturan Menteri Keuangan Nomor 72/PMK.02/2013 yakni angka 32 mengenai Honorarium Perangkat Unit Layanan Pengadaan dan angka 33 mengenai Satuan Biaya Operasional Khusus (BOK) Kepala Perwakilan RI Di Luar Negeri sehingga berbunyi sebagai berikut:</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0" w:type="auto"/>
            <w:gridSpan w:val="4"/>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32.</w:t>
            </w:r>
          </w:p>
        </w:tc>
        <w:tc>
          <w:tcPr>
            <w:tcW w:w="3850" w:type="pct"/>
            <w:gridSpan w:val="3"/>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HONORARIUM PERANGKAT UNIT LAYANAN PENGADAAN</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(dalam rupiah)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
              <w:gridCol w:w="4750"/>
              <w:gridCol w:w="1474"/>
              <w:gridCol w:w="1556"/>
            </w:tblGrid>
            <w:tr w:rsidR="00A059FA" w:rsidRPr="00A059FA">
              <w:tc>
                <w:tcPr>
                  <w:tcW w:w="2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URAIAN</w:t>
                  </w:r>
                </w:p>
              </w:tc>
              <w:tc>
                <w:tcPr>
                  <w:tcW w:w="9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SATUAN</w:t>
                  </w:r>
                </w:p>
              </w:tc>
              <w:tc>
                <w:tcPr>
                  <w:tcW w:w="9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BIAYA TA</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2014</w:t>
                  </w:r>
                </w:p>
              </w:tc>
            </w:tr>
            <w:tr w:rsidR="00A059FA" w:rsidRPr="00A059FA">
              <w:tc>
                <w:tcPr>
                  <w:tcW w:w="250" w:type="pct"/>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900" w:type="pct"/>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950" w:type="pct"/>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r>
            <w:tr w:rsidR="00A059FA" w:rsidRPr="00A059FA">
              <w:tc>
                <w:tcPr>
                  <w:tcW w:w="2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Perangkat Unit Layanan Pengadaan </w:t>
                  </w:r>
                </w:p>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 Ketua</w:t>
                  </w:r>
                  <w:r w:rsidRPr="00A059FA">
                    <w:rPr>
                      <w:sz w:val="22"/>
                    </w:rPr>
                    <w:t xml:space="preserve"> </w:t>
                  </w:r>
                </w:p>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 Sekretaris/Staf Pendukung</w:t>
                  </w:r>
                </w:p>
              </w:tc>
              <w:tc>
                <w:tcPr>
                  <w:tcW w:w="900" w:type="pct"/>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OB</w:t>
                  </w:r>
                  <w:r w:rsidRPr="00A059FA">
                    <w:rPr>
                      <w:sz w:val="22"/>
                    </w:rPr>
                    <w:t xml:space="preserve"> </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OB</w:t>
                  </w:r>
                </w:p>
              </w:tc>
              <w:tc>
                <w:tcPr>
                  <w:tcW w:w="950" w:type="pct"/>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1.000.000</w:t>
                  </w:r>
                  <w:r w:rsidRPr="00A059FA">
                    <w:rPr>
                      <w:sz w:val="22"/>
                    </w:rPr>
                    <w:t xml:space="preserve"> </w:t>
                  </w:r>
                </w:p>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750.000</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33.</w:t>
            </w:r>
          </w:p>
        </w:tc>
        <w:tc>
          <w:tcPr>
            <w:tcW w:w="3850" w:type="pct"/>
            <w:gridSpan w:val="3"/>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OPERASIONAL KHUSUS (BOK) KEPALA PERWAKILAN RI DI LUAR NEGERI</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(dalam US$)</w:t>
            </w:r>
          </w:p>
          <w:tbl>
            <w:tblPr>
              <w:tblW w:w="5000" w:type="pct"/>
              <w:tblCellMar>
                <w:top w:w="15" w:type="dxa"/>
                <w:left w:w="15" w:type="dxa"/>
                <w:bottom w:w="15" w:type="dxa"/>
                <w:right w:w="15" w:type="dxa"/>
              </w:tblCellMar>
              <w:tblLook w:val="04A0" w:firstRow="1" w:lastRow="0" w:firstColumn="1" w:lastColumn="0" w:noHBand="0" w:noVBand="1"/>
            </w:tblPr>
            <w:tblGrid>
              <w:gridCol w:w="780"/>
              <w:gridCol w:w="1889"/>
              <w:gridCol w:w="2835"/>
              <w:gridCol w:w="2685"/>
            </w:tblGrid>
            <w:tr w:rsidR="00A059FA" w:rsidRPr="00A059FA">
              <w:tc>
                <w:tcPr>
                  <w:tcW w:w="780" w:type="dxa"/>
                  <w:tcBorders>
                    <w:top w:val="single" w:sz="6" w:space="0" w:color="000000"/>
                    <w:left w:val="single" w:sz="6" w:space="0" w:color="000000"/>
                    <w:bottom w:val="single" w:sz="6" w:space="0" w:color="000000"/>
                    <w:right w:val="single" w:sz="6" w:space="0" w:color="000000"/>
                  </w:tcBorders>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PERWAKILAN RI</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SATUAN</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BIAYA TA </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2014</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AMERIKA UTARA &amp; TENGAH</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New York (KJRI)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Ottawa</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New York (PTRI)</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San Fransisco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Washington</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Los Angeles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Chicago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Houston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Toronto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Vancouver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Mexico City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AMERIKA SELATAN &amp; KARIBIA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Boenos Aires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Paramaribo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Brazilia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Caracas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Havana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Bogota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Santiago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Lima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EROPA TENGAH &amp; TIMUR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Beograd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Bucharest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18,000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Budapest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18,000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Moscow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Praha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17,400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Sofia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Warsawa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22,800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Kiev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Bratislava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EROPA BARAT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Stockholm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Helsinski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Roma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Vatican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18,000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Frankfurt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34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Bern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Berlin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Brussels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Den Haag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rPr>
                <w:trHeight w:val="375"/>
              </w:trPr>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Jenewa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100,368</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Hamburg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London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Paris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Wienna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Kopenhagen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Madrid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Oslo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Marseilles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Lisabon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21,000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Athens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Ankara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AFRIKA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Addis Ababa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Dar Es Salam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Lagos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rPr>
                <w:trHeight w:val="375"/>
              </w:trPr>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Tananarive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Dakkar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Nairobi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Harare</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18,000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Windhoek</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Pretoria</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59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Cape Town</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ASIA SELATAN &amp; TENGAH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rPr>
                <w:trHeight w:val="375"/>
              </w:trPr>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Mumbay</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Colombo</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Dhaka</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Islamabad</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Kaboul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Karachi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New Delhi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67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Teheran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Tashkent</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ASIA TIMUR &amp; PASIFIK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rPr>
                <w:trHeight w:val="375"/>
              </w:trPr>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Hongkong</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Osaka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Pyongyang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Seoul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Tokyo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Phnom Penh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Beijing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Guangzhou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Canberra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Noumea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Sydney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Wellington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Port Moresby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Darwin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Melbourne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Vanimo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Perth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Dilli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Suva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Bangkok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Davao City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Hanoi</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15,600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Kota Kinabalu</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Kuala Lumpur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Manila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Penang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Yangoon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Singapore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Vientiane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Bandar Seri Bagawan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 Chi Minh City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100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Songkhla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Johor Bahru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Kuching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rPr>
                      <w:szCs w:val="24"/>
                    </w:rPr>
                  </w:pP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TIMUR TENGAH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center"/>
                    <w:rPr>
                      <w:szCs w:val="24"/>
                    </w:rPr>
                  </w:pP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jc w:val="right"/>
                    <w:rPr>
                      <w:szCs w:val="24"/>
                    </w:rPr>
                  </w:pP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Khartoum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Alger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Tunis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Rabbat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Tripoli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Baghdad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Cairo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Damascus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Jeddah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60,000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Sanaa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Kuwait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Abu Dhabi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Amman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Riyadh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45,000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Beirut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15,000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Doha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OT</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r w:rsidR="00A059FA" w:rsidRPr="00A059FA">
              <w:tc>
                <w:tcPr>
                  <w:tcW w:w="78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Dubai </w:t>
                  </w:r>
                </w:p>
              </w:tc>
              <w:tc>
                <w:tcPr>
                  <w:tcW w:w="280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OT </w:t>
                  </w:r>
                </w:p>
              </w:tc>
              <w:tc>
                <w:tcPr>
                  <w:tcW w:w="2655"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30,000</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2.</w:t>
            </w: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Angka 1 mengenai Honorarium Penanggung Jawab Pengelola Keuangan, angka 9 mengenai Honorarium Kegiatan Seminar/ Rakor/Sosialisasi/Diseminasi/</w:t>
            </w:r>
            <w:r w:rsidRPr="00A059FA">
              <w:rPr>
                <w:rFonts w:ascii="Bookman Old Style" w:hAnsi="Bookman Old Style"/>
                <w:i/>
                <w:iCs/>
                <w:sz w:val="22"/>
              </w:rPr>
              <w:t>Focus Group Discussion</w:t>
            </w:r>
            <w:r w:rsidRPr="00A059FA">
              <w:rPr>
                <w:rFonts w:ascii="Bookman Old Style" w:hAnsi="Bookman Old Style"/>
                <w:sz w:val="22"/>
              </w:rPr>
              <w:t>/ Kegiatan Sejenis, angka 13 mengenai Honorarium Tim Pelaksana Kegiatan dan Sekretariat Tim Pelaksana Kegiatan, angka 24 mengenai Satuan Biaya Uang Saku Rapat Di Dalam Kantor, dan angka 30 mengenai Satuan Biaya Uang Harian Perjalanan Dinas Luar Negeri dalam Penjelasan Standar Biaya Masukan Tahun Anggaran 2014 yang Berfungsi Sebagai Batas Tertinggi sebagaimana tercantum dalam Lampiran I Peraturan Menteri Keuangan Nomor 72/PMK.02/2013, diubah sehingga menjadi sebagai berikut:</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480"/>
              <w:gridCol w:w="208"/>
              <w:gridCol w:w="209"/>
              <w:gridCol w:w="205"/>
              <w:gridCol w:w="6713"/>
            </w:tblGrid>
            <w:tr w:rsidR="00A059FA" w:rsidRPr="00A059FA">
              <w:tc>
                <w:tcPr>
                  <w:tcW w:w="150" w:type="pct"/>
                  <w:tcBorders>
                    <w:top w:val="single" w:sz="6" w:space="0" w:color="auto"/>
                    <w:left w:val="single" w:sz="6" w:space="0" w:color="auto"/>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1.</w:t>
                  </w:r>
                </w:p>
              </w:tc>
              <w:tc>
                <w:tcPr>
                  <w:tcW w:w="0" w:type="auto"/>
                  <w:gridSpan w:val="5"/>
                  <w:tcBorders>
                    <w:top w:val="single" w:sz="6" w:space="0" w:color="auto"/>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Honorarium Penanggung Jawab Pengelola Keuangan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0" w:type="auto"/>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Pengelola Keuangan pada setiap satuan kerja, diberi honorarium berdasarkan besaran pagu yang dikelola untuk setiap DIPA, dengan ketentuan sebagai berikut: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Dalam hal terdapat yang kegiatan lokasinya berjauhan dengan tempat kedudukan Bendahara Pengeluaran dan/atau beban kerja Bendahara Pengeluaran sangat berat, Menteri/Pimpinan Lembaga atau pejabat yang diberi kuasa dapat mengangkat satu atau lebih Bendahara Pengeluaran Pembantu guna kelancaran pelaksanaan kegiatan. Honorarium Bendahara Pengeluaran pembantu diberikan mengacu pada honorarium staf pengelola keuangan sesuai dengan dana yang dikelolanya.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Kepada Penanggungjawab Pengelola Keuangan yang mengelola lebih dari 1 (satu) DIPA, dapat diberikan honorarium sesuai dengan jumlah DIPA yang dikelola, besaran honorarium sesuai dengan pagu masing-masing DIPA. Honorarium tersebut dibebankan pada masing-masing DIPA.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Untuk membantu Pejabat Pembuat Komitmen (PPK) dalam pelaksanaan administrasi belanja pegawai di lingkungan satuan kerja, Kuasa Pengguna Anggaran (KPA) dapat menunjuk Petugas Pengelola Administrasi Belanja Pegawai (PPABP). Besaran honorarium PPABP diberikan mengacu pada honorarium staf pengelola keuangan sesuai dengan pagu belanja pegawai yang dikelolanya.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Untuk KPA yang merangkap sebagai PPK, jumlah staf pengelola keuangan paling banyak 6 (enam) orang, termasuk PPABP.</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e.</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Untuk KPA yang dibantu oleh salah satu atau beberapa PPK, jumlah staf pengelola keuangan paling banyak 3 (tiga) orang termasuk PPABP. Jumlah staf pengelola keuangan untuk setiap PPK paling banyak 2 (dua) orang.</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f.</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Jumlah keseluruhan alokasi dana untuk honorarium pengelola keuangan dalam 1 (satu) tahun paling banyak 10% (sepuluh persen) dari pagu yang dikelola.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Catatan: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w:t>
                  </w:r>
                </w:p>
              </w:tc>
              <w:tc>
                <w:tcPr>
                  <w:tcW w:w="45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Dengan pertimbangan efisiensi dan efektifitas, dapat dimungkinkan adanya penggabungan PPK dengan ketentuan: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Jumlah staf pengelola keuangan tidak boleh melampaui sebelum penggabungan; dan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Besaran honorarium staf pengelola keuangan sesuai dengan jumlah pagu yang dikelola staf tersebut.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2.</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Ketentuan mengenai satuan biaya ini berlaku juga untuk pengelola keuangan pada RKA-BUN, dimana alokasi untuk pengelola keuangan tersebut berasal dari pagu RKA-K/L Kementerian Negara/Lembaga berkenan.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rPr>
                      <w:szCs w:val="24"/>
                    </w:rPr>
                  </w:pP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9.</w:t>
                  </w: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Honorarium Kegiatan Seminar/Rakor/Sosialisasi/ Diseminasi/</w:t>
                  </w:r>
                  <w:r w:rsidRPr="00A059FA">
                    <w:rPr>
                      <w:rFonts w:ascii="Bookman Old Style" w:hAnsi="Bookman Old Style"/>
                      <w:b/>
                      <w:bCs/>
                      <w:i/>
                      <w:iCs/>
                      <w:sz w:val="22"/>
                    </w:rPr>
                    <w:t>Focus Group Discussion</w:t>
                  </w:r>
                  <w:r w:rsidRPr="00A059FA">
                    <w:rPr>
                      <w:rFonts w:ascii="Bookman Old Style" w:hAnsi="Bookman Old Style"/>
                      <w:b/>
                      <w:bCs/>
                      <w:sz w:val="22"/>
                    </w:rPr>
                    <w:t>/Kegiatan Sejenis</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9.1</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Narasumber/Pembahas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narasumber diberikan kepada pegawai negeri yang memberikan informasi/ pengetahuan kepada pegawai negeri lainnya/ masyarakat.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9.2</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Honorarium Moderator</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Honorarium moderator diberikan kepada pegawai negeri/non pegawai negeri yang melaksanakan tugas sebagai moderator pada kegiatan seminar/rakor/ sosialisasi/diseminasi/</w:t>
                  </w:r>
                  <w:r w:rsidRPr="00A059FA">
                    <w:rPr>
                      <w:rFonts w:ascii="Bookman Old Style" w:hAnsi="Bookman Old Style"/>
                      <w:i/>
                      <w:iCs/>
                      <w:sz w:val="22"/>
                    </w:rPr>
                    <w:t>focus group discussion</w:t>
                  </w:r>
                  <w:r w:rsidRPr="00A059FA">
                    <w:rPr>
                      <w:rFonts w:ascii="Bookman Old Style" w:hAnsi="Bookman Old Style"/>
                      <w:sz w:val="22"/>
                    </w:rPr>
                    <w:t xml:space="preserve">/ kegiatan sejenis.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Pelaksanaan kegiatan seminar/rakor/sosialisasi/ diseminasi/</w:t>
                  </w:r>
                  <w:r w:rsidRPr="00A059FA">
                    <w:rPr>
                      <w:rFonts w:ascii="Bookman Old Style" w:hAnsi="Bookman Old Style"/>
                      <w:i/>
                      <w:iCs/>
                      <w:sz w:val="22"/>
                    </w:rPr>
                    <w:t>focus group discussion</w:t>
                  </w:r>
                  <w:r w:rsidRPr="00A059FA">
                    <w:rPr>
                      <w:rFonts w:ascii="Bookman Old Style" w:hAnsi="Bookman Old Style"/>
                      <w:sz w:val="22"/>
                    </w:rPr>
                    <w:t>/kegiatan sejenis dapat menggunakan jasa moderator dalam hal diperlukan.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Catatan: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Satuan jam yang digunakan untuk kegiatan seminar/rakor/sosialisasi/diseminasi/</w:t>
                  </w:r>
                  <w:r w:rsidRPr="00A059FA">
                    <w:rPr>
                      <w:rFonts w:ascii="Bookman Old Style" w:hAnsi="Bookman Old Style"/>
                      <w:i/>
                      <w:iCs/>
                      <w:sz w:val="22"/>
                    </w:rPr>
                    <w:t xml:space="preserve">focus group </w:t>
                  </w:r>
                  <w:r w:rsidRPr="00A059FA">
                    <w:rPr>
                      <w:rFonts w:ascii="Bookman Old Style" w:hAnsi="Bookman Old Style"/>
                      <w:i/>
                      <w:iCs/>
                      <w:sz w:val="22"/>
                    </w:rPr>
                    <w:lastRenderedPageBreak/>
                    <w:t>discussion</w:t>
                  </w:r>
                  <w:r w:rsidRPr="00A059FA">
                    <w:rPr>
                      <w:rFonts w:ascii="Bookman Old Style" w:hAnsi="Bookman Old Style"/>
                      <w:sz w:val="22"/>
                    </w:rPr>
                    <w:t>/kegiatan sejenis setara dengan jam pelajaran, paling kurang 45 (empat puluh lima) menit.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2.</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Honorarium kegiatan seminar/rakor/ sosialisasi/diseminasi/</w:t>
                  </w:r>
                  <w:r w:rsidRPr="00A059FA">
                    <w:rPr>
                      <w:rFonts w:ascii="Bookman Old Style" w:hAnsi="Bookman Old Style"/>
                      <w:i/>
                      <w:iCs/>
                      <w:sz w:val="22"/>
                    </w:rPr>
                    <w:t>focus group discussion</w:t>
                  </w:r>
                  <w:r w:rsidRPr="00A059FA">
                    <w:rPr>
                      <w:rFonts w:ascii="Bookman Old Style" w:hAnsi="Bookman Old Style"/>
                      <w:sz w:val="22"/>
                    </w:rPr>
                    <w:t>/ kegiatan sejenis dapat diberikan dengan ketentuan: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berasal dari luar lingkup unit eselon I penyelenggara; dan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berasal dari lingkup unit eselon I penyelenggara sepanjang peserta yang menjadi sasaran utama kegiatan berasal dari luar lingkup unit eselon I penyelenggara/masyarakat.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rPr>
                      <w:szCs w:val="24"/>
                    </w:rPr>
                  </w:pP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13.</w:t>
                  </w: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Honorarium Tim Pelaksana Kegiatan dan Sekretariat Tim Pelaksana Kegiatan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13.1</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Tim Pelaksana Kegiatan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Tim Pelaksana Kegiatan dapat diberikan kepada pegawai negeri atau non pegawai yang diberi tugas untuk melaksanakan kegiatan berdasarkan surat keputusan Presiden/Menteri/Pejabat Setingkat Menteri/ Pejabat Eselon I/KPA. Terhadap tim pelaksana kegiatan yang dibentuk berdasarkan ketetapan Gubernur dalam kedudukannya sebagai wakil Pemerintah Pusat di daerah dan sumber pendanaannya berasal dari APBN, maka besaran honorarium yang diberikan dalam pelaksanaannya disetarakan dengan honorarium tim pelaksana kegiatan yang ditetapkan oleh Menteri/Pejabat Setingkat Menteri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Ketentuan pembentukan tim adalah sebagai berikut: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mempunyai keluaran</w:t>
                  </w:r>
                  <w:r w:rsidRPr="00A059FA">
                    <w:rPr>
                      <w:rFonts w:ascii="Bookman Old Style" w:hAnsi="Bookman Old Style"/>
                      <w:i/>
                      <w:iCs/>
                      <w:sz w:val="22"/>
                    </w:rPr>
                    <w:t xml:space="preserve"> (output) </w:t>
                  </w:r>
                  <w:r w:rsidRPr="00A059FA">
                    <w:rPr>
                      <w:rFonts w:ascii="Bookman Old Style" w:hAnsi="Bookman Old Style"/>
                      <w:sz w:val="22"/>
                    </w:rPr>
                    <w:t>jelas dan terukur;</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bersifat koordinatif yang mengharuskan untuk mengikutsertakan Eselon I/Kementerian Negara/Lembaga Lainnya;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bersifat temporer, pelaksanaannya perlu diprioritaskan atau di luar jam kerja;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merupakan perangkapan fungsi atau tugas tertentu kepada pegawai negeri disamping tugas pokoknya sehari-hari; dan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e)</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dilakukan secara selektif, efektif, dan efisien.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13.2</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Sekretariat Tim Pelaksana Kegiatan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Honorarium diberikan kepada pegawai negeri/non pegawai negeri yang diberi tugas untuk melaksanakan kegiatan administratif yang berfungsi untuk menunjang kegiatan tim pelaksana kegiatan. Sekretariat hanya dapat dibentuk untuk menunjang tim pelaksana kegiatan yang ditetapkan oleh Presiden/Menteri.</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Jumlah sekretariat tim pelaksana kegiatan paling banyak 7 (tujuh) orang.</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Catatan: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Dalam hal tim telah terbentuk selama 3 (tiga) tahun berturut-turut, Kementerian Negara/ Lembaga melakukan evaluasi terhadap urgensi dan efektifitas keberadaan tim untuk dipertimbangkan menjadi tugas dan fungsi suatu unit organisasi.</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2.</w:t>
                  </w:r>
                </w:p>
              </w:tc>
              <w:tc>
                <w:tcPr>
                  <w:tcW w:w="4450" w:type="pct"/>
                  <w:gridSpan w:val="3"/>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Kementerian Negara/Lembaga dalam melaksanakan ketentuan Standar Biaya Masukan agar melakukan langkah-langkah efisiensi anggaran dengan melakukan pembatasan dan pengendalian pemberian honorarium tim pelaksana kegiatan </w:t>
                  </w:r>
                  <w:r w:rsidRPr="00A059FA">
                    <w:rPr>
                      <w:rFonts w:ascii="Bookman Old Style" w:hAnsi="Bookman Old Style"/>
                      <w:sz w:val="22"/>
                    </w:rPr>
                    <w:lastRenderedPageBreak/>
                    <w:t>sebagai berikut: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Tim yang ditetapkan oleh Pejabat Eselon I/ KPA diperuntukkan bagi tim yang lintas eselon I dalam 1 (satu) Kementerian Negara/Lembaga.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Pemberian honorarium bagi Tim yang ditetapkan oleh Pejabat Eselon I/KPA berlaku ketentuan sebagai berikut: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1)</w:t>
                  </w:r>
                </w:p>
              </w:tc>
              <w:tc>
                <w:tcPr>
                  <w:tcW w:w="4150" w:type="pct"/>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Bagi Pejabat Negara, Eselon I, dan Eselon II setiap bulannya hanya diperkenankan menerima honorarium tim yang bersumber dari Daftar Isian Pelaksanaan Anggaran (DIPA) Kementerian Negara/Lembaga yang bersangkutan paling banyak 2 (dua) tim pelaksana kegiatan.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2)</w:t>
                  </w:r>
                </w:p>
              </w:tc>
              <w:tc>
                <w:tcPr>
                  <w:tcW w:w="4150" w:type="pct"/>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Bagi Pejabat Eselon III setiap bulannya hanya diperkenankan menerima honorarium tim yang bersumber dari DIPA Kementerian Negara/Lembaga yang bersangkutan paling banyak 3 (tiga) tim pelaksana kegiatan.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3)</w:t>
                  </w:r>
                </w:p>
              </w:tc>
              <w:tc>
                <w:tcPr>
                  <w:tcW w:w="4150" w:type="pct"/>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Bagi Pejabat Eselon IV, pelaksana, dan pejabat fungsional setiap bulannya hanya diperkenankan menerima honorarium tim yang bersumber dari DIPA Kementerian Negara/Lembaga yang bersangkutan paling banyak 4 (empat) tim pelaksana kegiatan.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Tim yang ditetapkan oleh Presiden, Menteri/Pimpinan Lembaga atau pejabat yang diberikan kewenangan oleh Menteri/Pimpinan Lembaga diperuntukkan bagi tim yang lintas Kementerian Negara/Lembaga.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Penetapan tim oleh pejabat yang diberikan kewenangan oleh Menteri/Pimpinan Lembaga dilaksanakan setelah pembentukan tim tersebut mendapat persetujuan Menteri/Pimpinan Lembaga.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300" w:type="pct"/>
                  <w:gridSpan w:val="2"/>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Pemberian honorarium bagi tim yang ditetapkan oleh Presiden, Menteri/Pimpinan Lembaga atau pejabat yang diberikan kewenangan oleh Menteri/Pimpinan Lembaga dikecualikan atas ketentuan huruf a di atas.</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rPr>
                      <w:szCs w:val="24"/>
                    </w:rPr>
                  </w:pP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24.</w:t>
                  </w: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Uang Saku Rapat Di Dalam Kantor</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Uang saku rapat di dalam kantor merupakan kompensasi bagi pegawai negeri/non pegawai negeri yang melakukan kegiatan rapat yang dilaksanakan di dalam kantor sebagai pengganti atas pelaksanaan sebagian kegiatan rapat/pertemuan di luar kantor </w:t>
                  </w:r>
                  <w:r w:rsidRPr="00A059FA">
                    <w:rPr>
                      <w:rFonts w:ascii="Bookman Old Style" w:hAnsi="Bookman Old Style"/>
                      <w:i/>
                      <w:iCs/>
                      <w:sz w:val="22"/>
                    </w:rPr>
                    <w:t>(fullboard, fullday, dan halfday).</w:t>
                  </w:r>
                  <w:r w:rsidRPr="00A059FA">
                    <w:rPr>
                      <w:rFonts w:ascii="Bookman Old Style" w:hAnsi="Bookman Old Style"/>
                      <w:sz w:val="22"/>
                    </w:rPr>
                    <w:t xml:space="preserve"> Uang saku rapat di dalam kantor dapat dibayarkan sepanjang:</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melibatkan peserta dari eselon I lainnya/ masyarakat;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dilaksanakan minimal 3 (tiga) jam di luar jam kerja;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tidak diberikan uang lembur dan uang makan lembur;</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dilengkapi dengan surat undangan yang ditandatangani oleh pejabat setingkat eselon II/ kepala satuan kerja;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e.</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surat tugas bagi peserta dari unit penyelenggara yang ditandatangani oleh pejabat setingkat eselon II/kepala satuan kerja; dan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f.</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surat pernyataan pelaksanan kegiatan yang ditandatangani oleh penanggung jawab kegiatan (pejabat minimal setingkat eselon III/kepala satuan kerja).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Catatan: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Uang saku rapat di dalam kantor dapat dibayarkan sepanjang 6 (enam) kriteria telah terpenuhi.</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Dalam hal struktur organisasi pada Kementerian Negara/Lembaga hanya terdapat satu eselon I, maka satuan biaya uang saku rapat di dalam kantor dapat diberikan untuk rapat yang melibatkan eselon II lainnya.</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150" w:type="pct"/>
                  <w:tcBorders>
                    <w:top w:val="nil"/>
                    <w:left w:val="nil"/>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c.</w:t>
                  </w:r>
                </w:p>
              </w:tc>
              <w:tc>
                <w:tcPr>
                  <w:tcW w:w="4600" w:type="pct"/>
                  <w:gridSpan w:val="4"/>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Satuan biaya uang saku rapat di dalam kantor belum termasuk konsumsi rapat.</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rPr>
                      <w:szCs w:val="24"/>
                    </w:rPr>
                  </w:pP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30.</w:t>
                  </w: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Uang Harian Perjalanan Dinas Luar Negeri</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Satuan Biaya Uang Perjalanan Dinas Luar Negeri merupakan penggantian biaya keperluan sehari-hari pegawai negeri/non pegawai negeri dalam menjalankan perintah perjalanan dinas di luar negeri yang dapat digunakan untuk uang makan, transpor lokal, uang saku, dan uang penginapan. </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Klasifikasi penetapan golongan Biaya Perjalanan Dinas Luar Negeri mengikuti ketentuan dalam Peraturan Menteri Keuangan mengenai Perjalanan Dinas Luar Negeri Bagi Pejabat Negara, Pegawai Negeri, Dan Pegawai Tidak Tetap.</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Besaran uang harian bagi negara akreditasi yang tidak tercantum dalam Lampiran Peraturan Menteri ini, merujuk pada besaran uang harian negara dimana Perwakilan RI bersangkutan berkedudukan.</w:t>
                  </w:r>
                </w:p>
              </w:tc>
            </w:tr>
            <w:tr w:rsidR="00A059FA" w:rsidRPr="00A059FA">
              <w:tc>
                <w:tcPr>
                  <w:tcW w:w="150" w:type="pct"/>
                  <w:tcBorders>
                    <w:top w:val="nil"/>
                    <w:left w:val="single" w:sz="6" w:space="0" w:color="auto"/>
                    <w:bottom w:val="nil"/>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nil"/>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Contoh: </w:t>
                  </w:r>
                </w:p>
              </w:tc>
            </w:tr>
            <w:tr w:rsidR="00A059FA" w:rsidRPr="00A059FA">
              <w:tc>
                <w:tcPr>
                  <w:tcW w:w="150" w:type="pct"/>
                  <w:tcBorders>
                    <w:top w:val="nil"/>
                    <w:left w:val="single" w:sz="6" w:space="0" w:color="auto"/>
                    <w:bottom w:val="single" w:sz="6" w:space="0" w:color="auto"/>
                    <w:right w:val="nil"/>
                  </w:tcBorders>
                  <w:tcMar>
                    <w:top w:w="0" w:type="dxa"/>
                    <w:left w:w="0" w:type="dxa"/>
                    <w:bottom w:w="0" w:type="dxa"/>
                    <w:right w:w="0" w:type="dxa"/>
                  </w:tcMar>
                  <w:hideMark/>
                </w:tcPr>
                <w:p w:rsidR="00A059FA" w:rsidRPr="00A059FA" w:rsidRDefault="00A059FA" w:rsidP="00A059FA">
                  <w:pPr>
                    <w:rPr>
                      <w:szCs w:val="24"/>
                    </w:rPr>
                  </w:pPr>
                </w:p>
              </w:tc>
              <w:tc>
                <w:tcPr>
                  <w:tcW w:w="4750" w:type="pct"/>
                  <w:gridSpan w:val="5"/>
                  <w:tcBorders>
                    <w:top w:val="nil"/>
                    <w:left w:val="nil"/>
                    <w:bottom w:val="single" w:sz="6" w:space="0" w:color="auto"/>
                    <w:right w:val="single" w:sz="6" w:space="0" w:color="auto"/>
                  </w:tcBorders>
                  <w:tcMar>
                    <w:top w:w="0" w:type="dxa"/>
                    <w:left w:w="0" w:type="dxa"/>
                    <w:bottom w:w="0" w:type="dxa"/>
                    <w:right w:w="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Uang harian bagi pejabat/pegawai yang melaksanakan perjalanan dinas ke negara Uganda, besarannya merujuk pada uang harian negara Kenya.</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3.</w:t>
            </w: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Menambah 2 (dua) angka dalam Penjelasan Standar Biaya Masukan Tahun Anggaran 2014 yang Berfungsi Sebagai Batas Tertinggi sebagaimana tercantum dalam Lampiran I Peraturan Menteri Keuangan Nomor 72/PMK.02/2013 yakni angka 32 mengenai Honorarium Perangkat Unit Layanan Pengadaan dan angka 33 mengenai Satuan Biaya Operasional Khusus (BOK) Kepala Perwakilan RI Di Luar Negeri sebagai berikut:</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
              <w:gridCol w:w="7634"/>
            </w:tblGrid>
            <w:tr w:rsidR="00A059FA" w:rsidRPr="00A059FA">
              <w:tc>
                <w:tcPr>
                  <w:tcW w:w="555" w:type="dxa"/>
                  <w:tcBorders>
                    <w:top w:val="single" w:sz="6" w:space="0" w:color="auto"/>
                    <w:left w:val="single" w:sz="6" w:space="0" w:color="auto"/>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32.</w:t>
                  </w:r>
                </w:p>
              </w:tc>
              <w:tc>
                <w:tcPr>
                  <w:tcW w:w="0" w:type="auto"/>
                  <w:tcBorders>
                    <w:top w:val="single" w:sz="6" w:space="0" w:color="auto"/>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Honorarium Perangkat Unit Layanan Pengadaan</w:t>
                  </w:r>
                </w:p>
              </w:tc>
            </w:tr>
            <w:tr w:rsidR="00A059FA" w:rsidRPr="00A059FA">
              <w:tc>
                <w:tcPr>
                  <w:tcW w:w="555" w:type="dxa"/>
                  <w:tcBorders>
                    <w:top w:val="nil"/>
                    <w:left w:val="single" w:sz="6" w:space="0" w:color="auto"/>
                    <w:bottom w:val="nil"/>
                    <w:right w:val="nil"/>
                  </w:tcBorders>
                  <w:hideMark/>
                </w:tcPr>
                <w:p w:rsidR="00A059FA" w:rsidRPr="00A059FA" w:rsidRDefault="00A059FA" w:rsidP="00A059FA">
                  <w:pPr>
                    <w:rPr>
                      <w:szCs w:val="24"/>
                    </w:rPr>
                  </w:pP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Honorarium yang diberikan kepada pegawai negeri yang berdasarkan surat keputusan pejabat yang berwenang diberi tugas sebagai perangkat pada Unit Layanan Pengadaan. </w:t>
                  </w:r>
                </w:p>
              </w:tc>
            </w:tr>
            <w:tr w:rsidR="00A059FA" w:rsidRPr="00A059FA">
              <w:tc>
                <w:tcPr>
                  <w:tcW w:w="555" w:type="dxa"/>
                  <w:tcBorders>
                    <w:top w:val="nil"/>
                    <w:left w:val="single" w:sz="6" w:space="0" w:color="auto"/>
                    <w:bottom w:val="nil"/>
                    <w:right w:val="nil"/>
                  </w:tcBorders>
                  <w:hideMark/>
                </w:tcPr>
                <w:p w:rsidR="00A059FA" w:rsidRPr="00A059FA" w:rsidRDefault="00A059FA" w:rsidP="00A059FA">
                  <w:pPr>
                    <w:rPr>
                      <w:szCs w:val="24"/>
                    </w:rPr>
                  </w:pP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Yang dimaksud dengan Unit Layanan Pengadaan adalah unit yang struktur organisasinya dilekatkan pada unit organisasi yang sudah ada.</w:t>
                  </w:r>
                </w:p>
              </w:tc>
            </w:tr>
            <w:tr w:rsidR="00A059FA" w:rsidRPr="00A059FA">
              <w:tc>
                <w:tcPr>
                  <w:tcW w:w="555" w:type="dxa"/>
                  <w:tcBorders>
                    <w:top w:val="nil"/>
                    <w:left w:val="single" w:sz="6" w:space="0" w:color="auto"/>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33.</w:t>
                  </w: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Operasional Khusus (BOK) Kepala Perwakilan RI Di Luar Negeri</w:t>
                  </w:r>
                </w:p>
              </w:tc>
            </w:tr>
            <w:tr w:rsidR="00A059FA" w:rsidRPr="00A059FA">
              <w:tc>
                <w:tcPr>
                  <w:tcW w:w="555" w:type="dxa"/>
                  <w:tcBorders>
                    <w:top w:val="nil"/>
                    <w:left w:val="single" w:sz="6" w:space="0" w:color="auto"/>
                    <w:bottom w:val="single" w:sz="6" w:space="0" w:color="auto"/>
                    <w:right w:val="nil"/>
                  </w:tcBorders>
                  <w:hideMark/>
                </w:tcPr>
                <w:p w:rsidR="00A059FA" w:rsidRPr="00A059FA" w:rsidRDefault="00A059FA" w:rsidP="00A059FA">
                  <w:pPr>
                    <w:rPr>
                      <w:szCs w:val="24"/>
                    </w:rPr>
                  </w:pPr>
                </w:p>
              </w:tc>
              <w:tc>
                <w:tcPr>
                  <w:tcW w:w="0" w:type="auto"/>
                  <w:tcBorders>
                    <w:top w:val="nil"/>
                    <w:left w:val="nil"/>
                    <w:bottom w:val="single" w:sz="6" w:space="0" w:color="auto"/>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Biaya Operasional Khusus (BOK) Kepala Perwakilan RI di Luar Negeri adalah dana yang digunakan untuk menunjang misi khusus Kepala Perwakilan RI di Luar Negeri dan bukan merupakan tambahan penghasilan.</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4.</w:t>
            </w: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Angka 9.4 mengenai Satuan Biaya Pengadaan Bahan Makanan Lingkup Perhubungan dan angka 12 mengenai Satuan Biaya Makanan Penambah Daya Tahan Tubuh sebagaimana tercantum dalam Lampiran II Peraturan </w:t>
            </w:r>
            <w:r w:rsidRPr="00A059FA">
              <w:rPr>
                <w:rFonts w:ascii="Bookman Old Style" w:hAnsi="Bookman Old Style"/>
                <w:sz w:val="22"/>
              </w:rPr>
              <w:lastRenderedPageBreak/>
              <w:t>Menteri Keuangan Nomor 72/PMK.02/2013, diubah sehingga menjadi sebagai berikut:</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3850" w:type="pct"/>
            <w:gridSpan w:val="3"/>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9.4</w:t>
            </w:r>
          </w:p>
        </w:tc>
        <w:tc>
          <w:tcPr>
            <w:tcW w:w="3850" w:type="pct"/>
            <w:gridSpan w:val="3"/>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Pengadaan Bahan Makanan Lingkup Perhubungan</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9.4.1</w:t>
            </w:r>
          </w:p>
        </w:tc>
        <w:tc>
          <w:tcPr>
            <w:tcW w:w="3850" w:type="pct"/>
            <w:gridSpan w:val="3"/>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Keluarga Penjaga Menara Suar, Petugas Pengamatan Laut, ABK Cadangan Pada Kapal Negara, ABK Aktif Pada Kapal Negara, dan Petugas SROP dan VTIS</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(dalam rupiah)</w:t>
            </w:r>
          </w:p>
          <w:tbl>
            <w:tblPr>
              <w:tblW w:w="5103"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
              <w:gridCol w:w="1927"/>
              <w:gridCol w:w="779"/>
              <w:gridCol w:w="1057"/>
              <w:gridCol w:w="1327"/>
              <w:gridCol w:w="1085"/>
              <w:gridCol w:w="812"/>
              <w:gridCol w:w="909"/>
            </w:tblGrid>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NO</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PROVINSI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SATUAN</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KELUARGA PENJAGA MENARA SUAR (PMS)</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PETUGAS PENGAMATAN</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LAUT</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ABK </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CADANGAN PADA KAPAL </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NEGARA</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ABK AKTIF</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PADA KAPAL NEGARA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PETUGAS</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SROP DAN</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VTIS</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(5)</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(6)</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(7)</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(8)</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ACEH</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SUMATERA UTARA</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18.000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R I A U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KEPULAUAN RIAU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 M B I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SUMATERA BARAT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SUMATERA SELATAN</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LAMPUNG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BENGKULU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BANGKA BELITUNG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18.000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27.000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 A N T E N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17.000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25.000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JAWA BARAT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17.000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25.000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D.K.I. JAKARTA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17.000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25.000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JAWA TENGAH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17.000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25.000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D.I. YOGYAKARTA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17.000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25.000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JAWA TIMUR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17.000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25.000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 A L I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22.000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NUSA TENGGARA BARAT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22.000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NUSA TENGGARA TIMUR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22.000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BARAT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TENGAH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SELATAN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TIMUR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UTARA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UTARA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GORONTALO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BARAT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lastRenderedPageBreak/>
                    <w:t>28.</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SELATAN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TENGGARA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20.000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30.000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MALUKU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22.000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MALUKU UTARA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22.000</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P A P U A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37.000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44.000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r>
            <w:tr w:rsidR="00A059FA" w:rsidRPr="00A059FA" w:rsidTr="00A059FA">
              <w:tc>
                <w:tcPr>
                  <w:tcW w:w="462"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34.</w:t>
                  </w:r>
                </w:p>
              </w:tc>
              <w:tc>
                <w:tcPr>
                  <w:tcW w:w="0" w:type="auto"/>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PAPUA BARAT </w:t>
                  </w:r>
                </w:p>
              </w:tc>
              <w:tc>
                <w:tcPr>
                  <w:tcW w:w="771"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1046"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25.000 </w:t>
                  </w:r>
                </w:p>
              </w:tc>
              <w:tc>
                <w:tcPr>
                  <w:tcW w:w="131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37.000 </w:t>
                  </w:r>
                </w:p>
              </w:tc>
              <w:tc>
                <w:tcPr>
                  <w:tcW w:w="107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37.000 </w:t>
                  </w:r>
                </w:p>
              </w:tc>
              <w:tc>
                <w:tcPr>
                  <w:tcW w:w="804"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44.000 </w:t>
                  </w:r>
                </w:p>
              </w:tc>
              <w:tc>
                <w:tcPr>
                  <w:tcW w:w="900" w:type="dxa"/>
                  <w:tcBorders>
                    <w:top w:val="single" w:sz="6" w:space="0" w:color="000000"/>
                    <w:left w:val="single" w:sz="6" w:space="0" w:color="000000"/>
                    <w:bottom w:val="single" w:sz="6" w:space="0" w:color="000000"/>
                    <w:right w:val="single" w:sz="6" w:space="0" w:color="000000"/>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9.4.2 </w:t>
            </w:r>
          </w:p>
        </w:tc>
        <w:tc>
          <w:tcPr>
            <w:tcW w:w="3850" w:type="pct"/>
            <w:gridSpan w:val="3"/>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 xml:space="preserve">Petugas Bengkel dan Galangan Kapal Kenavigasian, Petugas Pabrik Gas Aga Untuk Lampu Suar, Penjaga Menara Suar (PMS), Kelompok Tenaga Kesehatan Kerja Pelayaran, </w:t>
            </w:r>
            <w:r w:rsidRPr="00A059FA">
              <w:rPr>
                <w:rFonts w:ascii="Bookman Old Style" w:hAnsi="Bookman Old Style"/>
                <w:b/>
                <w:bCs/>
                <w:i/>
                <w:iCs/>
                <w:sz w:val="22"/>
              </w:rPr>
              <w:t>Rescue Team</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(dalam rupiah)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
              <w:gridCol w:w="1353"/>
              <w:gridCol w:w="855"/>
              <w:gridCol w:w="1499"/>
              <w:gridCol w:w="983"/>
              <w:gridCol w:w="976"/>
              <w:gridCol w:w="1241"/>
              <w:gridCol w:w="887"/>
            </w:tblGrid>
            <w:tr w:rsidR="00A059FA" w:rsidRPr="00A059FA">
              <w:tc>
                <w:tcPr>
                  <w:tcW w:w="6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NO</w:t>
                  </w:r>
                </w:p>
              </w:tc>
              <w:tc>
                <w:tcPr>
                  <w:tcW w:w="397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PROVINSI</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SATUAN</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PETUGAS BENGKEL DAN GALANGAN KAPAL KENAVIGASIAN</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PETUGAS PABRIK GAS AGA UNTUK LAMPU SUAR</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PENJAGA MENARA SUAR (PMS)</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KELOMPOK TENAGA KESEHATAN KERJA PELAYARAN</w:t>
                  </w:r>
                </w:p>
              </w:tc>
              <w:tc>
                <w:tcPr>
                  <w:tcW w:w="19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RESCUE</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TEAM</w:t>
                  </w:r>
                </w:p>
              </w:tc>
            </w:tr>
            <w:tr w:rsidR="00A059FA" w:rsidRPr="00A059FA">
              <w:tc>
                <w:tcPr>
                  <w:tcW w:w="52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129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c>
                <w:tcPr>
                  <w:tcW w:w="20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(5)</w:t>
                  </w:r>
                </w:p>
              </w:tc>
              <w:tc>
                <w:tcPr>
                  <w:tcW w:w="18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(6)</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(7)</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(8)</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ACEH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SUMATERA UTARA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R I A U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KEPULAUAN RIAU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5.</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 A M B I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6.</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SUMATERA BARAT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7.</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SUMATERA SELATAN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8.</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LAMPUNG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9.</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BENGKULU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10.</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BANGKA BELITUNG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 xml:space="preserve">OH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32.000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32.000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11.</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 A N T E N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12.</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JAWA BARAT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13.</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D.K.I. JAKARTA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14.</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JAWA TENGAH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15.</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D.I. YOGYAKARTA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16.</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JAWA TIMUR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30.000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17.</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B A L I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lastRenderedPageBreak/>
                    <w:t>18.</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NUSA TENGGARA BARAT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19.</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NUSA TENGGARA TIMUR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20.</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KALIMANTAN BARAT</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21.</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TENGAH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22.</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SELATAN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23.</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TIMUR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24.</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KALIMANTAN UTARA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25.</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SULAWESI UTARA</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26.</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GORONTALO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27.</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BARAT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28.</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SELATAN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29.</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SULAWESI TENGAH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30.</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SULAWESI TENGGARA</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36.000 </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36.000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31.</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MALUKU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32.</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MALUKU UTARA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 xml:space="preserve">38.000 </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38.000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33.</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P A P U A</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r>
            <w:tr w:rsidR="00A059FA" w:rsidRPr="00A059FA">
              <w:tc>
                <w:tcPr>
                  <w:tcW w:w="57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34.</w:t>
                  </w:r>
                </w:p>
              </w:tc>
              <w:tc>
                <w:tcPr>
                  <w:tcW w:w="39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18"/>
                      <w:szCs w:val="20"/>
                    </w:rPr>
                    <w:t xml:space="preserve">PAPUA BARAT </w:t>
                  </w:r>
                </w:p>
              </w:tc>
              <w:tc>
                <w:tcPr>
                  <w:tcW w:w="126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OH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1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190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c>
                <w:tcPr>
                  <w:tcW w:w="19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44.000</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12.</w:t>
            </w:r>
          </w:p>
        </w:tc>
        <w:tc>
          <w:tcPr>
            <w:tcW w:w="3850" w:type="pct"/>
            <w:gridSpan w:val="3"/>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MAKANAN PENAMBAH DAYA TAHAN TUBUH</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18"/>
                <w:szCs w:val="20"/>
              </w:rPr>
              <w:t>(dalam rupiah)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3"/>
              <w:gridCol w:w="1656"/>
              <w:gridCol w:w="2426"/>
              <w:gridCol w:w="3554"/>
            </w:tblGrid>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PROVINSI</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SATUAN</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BIAYA TA</w:t>
                  </w:r>
                </w:p>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2014</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(2)</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(3)</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18"/>
                      <w:szCs w:val="20"/>
                    </w:rPr>
                    <w:t>(4)</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ACEH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SUMATERA UTARA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R I A U OH 13.000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KEPULAUAN RIAU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 A M B I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OH</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SUMATERA BARAT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OH</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SUMATERA SELATAN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OH</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LAMPUNG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OH</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BENGKULU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OH</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BANGKA BELITUNG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OH</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 A N T E N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JAWA BARAT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D.K.I. JAKARTA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JAWA TENGAH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D.I. YOGYAKARTA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JAWA TIMUR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B A L I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NUSA TENGGARA BARAT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NUSA TENGGARA TIMUR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KALIMANTAN BARAT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KALIMANTAN TENGAH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KALIMANTAN SELATAN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KALIMANTAN TIMUR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KALIMANTAN UTARA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SULAWESI UTARA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GORONTALO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SULAWESI BARAT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12.000</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SULAWESI SELATAN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SULAWESI </w:t>
                  </w:r>
                  <w:r w:rsidRPr="00A059FA">
                    <w:rPr>
                      <w:rFonts w:ascii="Bookman Old Style" w:hAnsi="Bookman Old Style"/>
                      <w:sz w:val="22"/>
                    </w:rPr>
                    <w:lastRenderedPageBreak/>
                    <w:t xml:space="preserve">TENGAH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12.000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SULAWESI TENGGARA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13.000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MALUKU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14.000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MALUKU UTARA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15.000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P A P U A </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18.000 </w:t>
                  </w:r>
                </w:p>
              </w:tc>
            </w:tr>
            <w:tr w:rsidR="00A059FA" w:rsidRPr="00A059FA">
              <w:tc>
                <w:tcPr>
                  <w:tcW w:w="55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PAPUA BARAT</w:t>
                  </w:r>
                </w:p>
              </w:tc>
              <w:tc>
                <w:tcPr>
                  <w:tcW w:w="253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 xml:space="preserve">OH </w:t>
                  </w:r>
                </w:p>
              </w:tc>
              <w:tc>
                <w:tcPr>
                  <w:tcW w:w="376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A059FA" w:rsidRPr="00A059FA" w:rsidRDefault="00A059FA" w:rsidP="00A059FA">
                  <w:pPr>
                    <w:pStyle w:val="NormalWeb"/>
                    <w:spacing w:before="90" w:beforeAutospacing="0" w:after="0" w:afterAutospacing="0"/>
                    <w:jc w:val="right"/>
                    <w:rPr>
                      <w:sz w:val="22"/>
                    </w:rPr>
                  </w:pPr>
                  <w:r w:rsidRPr="00A059FA">
                    <w:rPr>
                      <w:rFonts w:ascii="Bookman Old Style" w:hAnsi="Bookman Old Style"/>
                      <w:sz w:val="22"/>
                    </w:rPr>
                    <w:t xml:space="preserve">16.000 </w:t>
                  </w:r>
                </w:p>
              </w:tc>
            </w:tr>
          </w:tbl>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5.</w:t>
            </w:r>
          </w:p>
        </w:tc>
        <w:tc>
          <w:tcPr>
            <w:tcW w:w="4050" w:type="pct"/>
            <w:gridSpan w:val="4"/>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Angka 6 mengenai Satuan Biaya Bantuan Beasiswa Program Gelar/Non Gelar Dalam Negeri dan angka 27 mengenai Satuan Biaya Tiket Pesawat Perjalanan Dinas Luar Negeri (PP) dalam Penjelasan Standar Biaya Masukan Tahun Anggaran 2014 yang Berfungsi Sebagai Estimasi sebagaimana tercantum dalam Lampiran II Peraturan Menteri Keuangan Nomor 72/PMK.02/2013, diubah sehingga menjadi sebagai berikut:</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050" w:type="pct"/>
            <w:gridSpan w:val="4"/>
            <w:tcBorders>
              <w:top w:val="nil"/>
              <w:left w:val="nil"/>
              <w:bottom w:val="nil"/>
              <w:right w:val="nil"/>
            </w:tcBorders>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7469"/>
            </w:tblGrid>
            <w:tr w:rsidR="00A059FA" w:rsidRPr="00A059FA">
              <w:tc>
                <w:tcPr>
                  <w:tcW w:w="720" w:type="dxa"/>
                  <w:tcBorders>
                    <w:top w:val="single" w:sz="6" w:space="0" w:color="auto"/>
                    <w:left w:val="single" w:sz="6" w:space="0" w:color="auto"/>
                    <w:bottom w:val="nil"/>
                    <w:right w:val="nil"/>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b/>
                      <w:bCs/>
                      <w:sz w:val="22"/>
                    </w:rPr>
                    <w:t>6.</w:t>
                  </w:r>
                </w:p>
              </w:tc>
              <w:tc>
                <w:tcPr>
                  <w:tcW w:w="0" w:type="auto"/>
                  <w:tcBorders>
                    <w:top w:val="single" w:sz="6" w:space="0" w:color="auto"/>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Bantuan Beasiswa Program Gelar/Non Gelar Dalam Negeri</w:t>
                  </w:r>
                </w:p>
              </w:tc>
            </w:tr>
            <w:tr w:rsidR="00A059FA" w:rsidRPr="00A059FA">
              <w:tc>
                <w:tcPr>
                  <w:tcW w:w="720" w:type="dxa"/>
                  <w:tcBorders>
                    <w:top w:val="nil"/>
                    <w:left w:val="single" w:sz="6" w:space="0" w:color="auto"/>
                    <w:bottom w:val="nil"/>
                    <w:right w:val="nil"/>
                  </w:tcBorders>
                  <w:hideMark/>
                </w:tcPr>
                <w:p w:rsidR="00A059FA" w:rsidRPr="00A059FA" w:rsidRDefault="00A059FA" w:rsidP="00A059FA">
                  <w:pPr>
                    <w:rPr>
                      <w:szCs w:val="24"/>
                    </w:rPr>
                  </w:pP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Satuan biaya bantuan beasiswa program gelar/non gelar dalam negeri merupakan satuan biaya yang digunakan untuk perencanaan kebutuhan biaya bantuan mahasiswa program gelar/non gelar dalam negeri bagi pegawai negeri yang ditugaskan untuk melanjutkan pendidikan Diploma I, Diploma III, Diploma IV atau Strata 1 (satu), dan pendidikan Pasca Sarjana (Strata 2 (dua) atau Strata 3 (tiga)) yang terdiri dari biaya hidup dan biaya operasional, uang buku dan referensi per tahun. Biaya untuk pendidikan ditanggung oleh Pemerintah secara </w:t>
                  </w:r>
                  <w:r w:rsidRPr="00A059FA">
                    <w:rPr>
                      <w:rFonts w:ascii="Bookman Old Style" w:hAnsi="Bookman Old Style"/>
                      <w:i/>
                      <w:iCs/>
                      <w:sz w:val="22"/>
                    </w:rPr>
                    <w:t>at cost</w:t>
                  </w:r>
                  <w:r w:rsidRPr="00A059FA">
                    <w:rPr>
                      <w:rFonts w:ascii="Bookman Old Style" w:hAnsi="Bookman Old Style"/>
                      <w:sz w:val="22"/>
                    </w:rPr>
                    <w:t xml:space="preserve"> sedangkan untuk biaya riset program dapat dialokasikan bantuan biaya riset sesuai kemampuan keuangan Kementerian Negara/Lembaga masing-masing, yang dalam pengusulannya dilampiri dengan </w:t>
                  </w:r>
                  <w:r w:rsidRPr="00A059FA">
                    <w:rPr>
                      <w:rFonts w:ascii="Bookman Old Style" w:hAnsi="Bookman Old Style"/>
                      <w:i/>
                      <w:iCs/>
                      <w:sz w:val="22"/>
                    </w:rPr>
                    <w:t>Terms of Reference</w:t>
                  </w:r>
                  <w:r w:rsidRPr="00A059FA">
                    <w:rPr>
                      <w:rFonts w:ascii="Bookman Old Style" w:hAnsi="Bookman Old Style"/>
                      <w:sz w:val="22"/>
                    </w:rPr>
                    <w:t xml:space="preserve"> (TOR) dan Rincian Anggaran Biaya (RAB). </w:t>
                  </w:r>
                </w:p>
              </w:tc>
            </w:tr>
            <w:tr w:rsidR="00A059FA" w:rsidRPr="00A059FA">
              <w:tc>
                <w:tcPr>
                  <w:tcW w:w="720" w:type="dxa"/>
                  <w:tcBorders>
                    <w:top w:val="nil"/>
                    <w:left w:val="single" w:sz="6" w:space="0" w:color="auto"/>
                    <w:bottom w:val="nil"/>
                    <w:right w:val="nil"/>
                  </w:tcBorders>
                  <w:hideMark/>
                </w:tcPr>
                <w:p w:rsidR="00A059FA" w:rsidRPr="00A059FA" w:rsidRDefault="00A059FA" w:rsidP="00A059FA">
                  <w:pPr>
                    <w:rPr>
                      <w:szCs w:val="24"/>
                    </w:rPr>
                  </w:pP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Khusus tenaga pengajar biasa pada perguruan tinggi yang ditugaskan mengikuti pendidikan fakultas pasca sarjana, besaran tunjangan tugas belajar merujuk Keputusan Presiden Nomor 57 tahun 1986 tentang Tunjangan Belajar Bagi Tenaga Pengajar Biasa Pada Perguruan Tinggi Yang Ditugaskan Mengikuti Pendidikan Pada Fakultas Pasca Sarjana.</w:t>
                  </w:r>
                </w:p>
              </w:tc>
            </w:tr>
            <w:tr w:rsidR="00A059FA" w:rsidRPr="00A059FA">
              <w:tc>
                <w:tcPr>
                  <w:tcW w:w="720" w:type="dxa"/>
                  <w:tcBorders>
                    <w:top w:val="nil"/>
                    <w:left w:val="single" w:sz="6" w:space="0" w:color="auto"/>
                    <w:bottom w:val="nil"/>
                    <w:right w:val="nil"/>
                  </w:tcBorders>
                  <w:hideMark/>
                </w:tcPr>
                <w:p w:rsidR="00A059FA" w:rsidRPr="00A059FA" w:rsidRDefault="00A059FA" w:rsidP="00A059FA">
                  <w:pPr>
                    <w:rPr>
                      <w:szCs w:val="24"/>
                    </w:rPr>
                  </w:pPr>
                </w:p>
              </w:tc>
              <w:tc>
                <w:tcPr>
                  <w:tcW w:w="0" w:type="auto"/>
                  <w:tcBorders>
                    <w:top w:val="nil"/>
                    <w:left w:val="nil"/>
                    <w:bottom w:val="nil"/>
                    <w:right w:val="single" w:sz="6" w:space="0" w:color="auto"/>
                  </w:tcBorders>
                  <w:hideMark/>
                </w:tcPr>
                <w:p w:rsidR="00A059FA" w:rsidRPr="00A059FA" w:rsidRDefault="00A059FA" w:rsidP="00A059FA">
                  <w:pPr>
                    <w:rPr>
                      <w:szCs w:val="24"/>
                    </w:rPr>
                  </w:pPr>
                </w:p>
              </w:tc>
            </w:tr>
            <w:tr w:rsidR="00A059FA" w:rsidRPr="00A059FA">
              <w:tc>
                <w:tcPr>
                  <w:tcW w:w="720" w:type="dxa"/>
                  <w:tcBorders>
                    <w:top w:val="nil"/>
                    <w:left w:val="single" w:sz="6" w:space="0" w:color="auto"/>
                    <w:bottom w:val="nil"/>
                    <w:right w:val="nil"/>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b/>
                      <w:bCs/>
                      <w:sz w:val="22"/>
                    </w:rPr>
                    <w:t xml:space="preserve">27. </w:t>
                  </w: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b/>
                      <w:bCs/>
                      <w:sz w:val="22"/>
                    </w:rPr>
                    <w:t>Satuan Biaya Tiket Pesawat Perjalanan Dinas Luar Negeri (PP)</w:t>
                  </w:r>
                </w:p>
              </w:tc>
            </w:tr>
            <w:tr w:rsidR="00A059FA" w:rsidRPr="00A059FA">
              <w:tc>
                <w:tcPr>
                  <w:tcW w:w="720" w:type="dxa"/>
                  <w:tcBorders>
                    <w:top w:val="nil"/>
                    <w:left w:val="single" w:sz="6" w:space="0" w:color="auto"/>
                    <w:bottom w:val="nil"/>
                    <w:right w:val="nil"/>
                  </w:tcBorders>
                  <w:hideMark/>
                </w:tcPr>
                <w:p w:rsidR="00A059FA" w:rsidRPr="00A059FA" w:rsidRDefault="00A059FA" w:rsidP="00A059FA">
                  <w:pPr>
                    <w:rPr>
                      <w:szCs w:val="24"/>
                    </w:rPr>
                  </w:pPr>
                </w:p>
              </w:tc>
              <w:tc>
                <w:tcPr>
                  <w:tcW w:w="0" w:type="auto"/>
                  <w:tcBorders>
                    <w:top w:val="nil"/>
                    <w:left w:val="nil"/>
                    <w:bottom w:val="nil"/>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Satuan biaya tiket pesawat perjalanan dinas luar negeri (PP) merupakan satuan biaya yang digunakan untuk perencanaan kebutuhan biaya pembelian tiket pesawat udara dari bandara di Jakarta ke berbagai bandara kota tujuan di luar negeri Pergi Pulang (PP). Satuan biaya tiket termasuk biaya asuransi, tidak termasuk </w:t>
                  </w:r>
                  <w:r w:rsidRPr="00A059FA">
                    <w:rPr>
                      <w:rFonts w:ascii="Bookman Old Style" w:hAnsi="Bookman Old Style"/>
                      <w:i/>
                      <w:iCs/>
                      <w:sz w:val="22"/>
                    </w:rPr>
                    <w:t>airport tax</w:t>
                  </w:r>
                  <w:r w:rsidRPr="00A059FA">
                    <w:rPr>
                      <w:rFonts w:ascii="Bookman Old Style" w:hAnsi="Bookman Old Style"/>
                      <w:sz w:val="22"/>
                    </w:rPr>
                    <w:t xml:space="preserve"> serta biaya retribusi lainnya.</w:t>
                  </w:r>
                </w:p>
              </w:tc>
            </w:tr>
            <w:tr w:rsidR="00A059FA" w:rsidRPr="00A059FA">
              <w:tc>
                <w:tcPr>
                  <w:tcW w:w="720" w:type="dxa"/>
                  <w:tcBorders>
                    <w:top w:val="nil"/>
                    <w:left w:val="single" w:sz="6" w:space="0" w:color="auto"/>
                    <w:bottom w:val="single" w:sz="6" w:space="0" w:color="auto"/>
                    <w:right w:val="nil"/>
                  </w:tcBorders>
                  <w:hideMark/>
                </w:tcPr>
                <w:p w:rsidR="00A059FA" w:rsidRPr="00A059FA" w:rsidRDefault="00A059FA" w:rsidP="00A059FA">
                  <w:pPr>
                    <w:rPr>
                      <w:szCs w:val="24"/>
                    </w:rPr>
                  </w:pPr>
                </w:p>
              </w:tc>
              <w:tc>
                <w:tcPr>
                  <w:tcW w:w="0" w:type="auto"/>
                  <w:tcBorders>
                    <w:top w:val="nil"/>
                    <w:left w:val="nil"/>
                    <w:bottom w:val="single" w:sz="6" w:space="0" w:color="auto"/>
                    <w:right w:val="single" w:sz="6" w:space="0" w:color="auto"/>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Perjalanan dinas luar negeri yang lama perjalanannya melebihi 8 (delapan) jam penerbangan (tidak termasuk waktu transit), bagi Pejabat Eselon III ke atas dapat menggunakan kelas bisnis.</w:t>
                  </w:r>
                </w:p>
              </w:tc>
            </w:tr>
          </w:tbl>
          <w:p w:rsidR="00A059FA" w:rsidRPr="00A059FA" w:rsidRDefault="00A059FA" w:rsidP="00A059FA">
            <w:pPr>
              <w:rPr>
                <w:szCs w:val="24"/>
              </w:rPr>
            </w:pP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jc w:val="center"/>
              <w:rPr>
                <w:sz w:val="22"/>
              </w:rPr>
            </w:pPr>
            <w:r w:rsidRPr="00A059FA">
              <w:rPr>
                <w:rFonts w:ascii="Bookman Old Style" w:hAnsi="Bookman Old Style"/>
                <w:sz w:val="22"/>
              </w:rPr>
              <w:t>Pasal II</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150" w:type="pct"/>
            <w:gridSpan w:val="5"/>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Peraturan Menteri ini mulai berlaku pada tanggal diundangkan.</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150" w:type="pct"/>
            <w:gridSpan w:val="5"/>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Agar setiap orang mengetahuinya, memerintahkan pengundangan Peraturan Menteri ini dengan penempatannya dalam Berita Negara Republik Indonesia.</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4150" w:type="pct"/>
            <w:gridSpan w:val="5"/>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Ditetapkan di Jakarta</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pada tanggal 17 Maret 2014</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MENTERI KEUANGAN REPUBLIK INDONESIA,</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ttd.</w:t>
            </w: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7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100" w:type="pct"/>
            <w:tcBorders>
              <w:top w:val="nil"/>
              <w:left w:val="nil"/>
              <w:bottom w:val="nil"/>
              <w:right w:val="nil"/>
            </w:tcBorders>
            <w:hideMark/>
          </w:tcPr>
          <w:p w:rsidR="00A059FA" w:rsidRPr="00A059FA" w:rsidRDefault="00A059FA" w:rsidP="00A059FA">
            <w:pPr>
              <w:rPr>
                <w:szCs w:val="24"/>
              </w:rPr>
            </w:pPr>
          </w:p>
        </w:tc>
        <w:tc>
          <w:tcPr>
            <w:tcW w:w="200" w:type="pct"/>
            <w:tcBorders>
              <w:top w:val="nil"/>
              <w:left w:val="nil"/>
              <w:bottom w:val="nil"/>
              <w:right w:val="nil"/>
            </w:tcBorders>
            <w:hideMark/>
          </w:tcPr>
          <w:p w:rsidR="00A059FA" w:rsidRPr="00A059FA" w:rsidRDefault="00A059FA" w:rsidP="00A059FA">
            <w:pPr>
              <w:rPr>
                <w:szCs w:val="24"/>
              </w:rPr>
            </w:pPr>
          </w:p>
        </w:tc>
        <w:tc>
          <w:tcPr>
            <w:tcW w:w="25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rPr>
                <w:szCs w:val="24"/>
              </w:rPr>
            </w:pPr>
          </w:p>
        </w:tc>
        <w:tc>
          <w:tcPr>
            <w:tcW w:w="1800" w:type="pct"/>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MUHAMAD CHATIB BASRI</w:t>
            </w: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Diundangkan di Jakarta</w:t>
            </w: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pada tanggal 17 Maret 2014</w:t>
            </w: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 xml:space="preserve">MENTERI HUKUM DAN HAK ASASI MANUSIA </w:t>
            </w:r>
            <w:r w:rsidRPr="00A059FA">
              <w:rPr>
                <w:rFonts w:ascii="Bookman Old Style" w:hAnsi="Bookman Old Style"/>
                <w:sz w:val="22"/>
              </w:rPr>
              <w:br/>
              <w:t>REPUBLIK INDONESIA,</w:t>
            </w: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ttd.</w:t>
            </w: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AMIR SYAMSUDIN</w:t>
            </w: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rPr>
                <w:szCs w:val="24"/>
              </w:rPr>
            </w:pPr>
          </w:p>
        </w:tc>
      </w:tr>
      <w:tr w:rsidR="00A059FA" w:rsidRPr="00A059FA" w:rsidTr="00A059FA">
        <w:trPr>
          <w:tblCellSpacing w:w="15" w:type="dxa"/>
        </w:trPr>
        <w:tc>
          <w:tcPr>
            <w:tcW w:w="4950" w:type="pct"/>
            <w:gridSpan w:val="7"/>
            <w:tcBorders>
              <w:top w:val="nil"/>
              <w:left w:val="nil"/>
              <w:bottom w:val="nil"/>
              <w:right w:val="nil"/>
            </w:tcBorders>
            <w:hideMark/>
          </w:tcPr>
          <w:p w:rsidR="00A059FA" w:rsidRPr="00A059FA" w:rsidRDefault="00A059FA" w:rsidP="00A059FA">
            <w:pPr>
              <w:pStyle w:val="NormalWeb"/>
              <w:spacing w:before="90" w:beforeAutospacing="0" w:after="0" w:afterAutospacing="0"/>
              <w:rPr>
                <w:sz w:val="22"/>
              </w:rPr>
            </w:pPr>
            <w:r w:rsidRPr="00A059FA">
              <w:rPr>
                <w:rFonts w:ascii="Bookman Old Style" w:hAnsi="Bookman Old Style"/>
                <w:sz w:val="22"/>
              </w:rPr>
              <w:t>BERITA NEGARA REPUBLIK INDONESIA TAHUN 2014 NOMOR 343</w:t>
            </w:r>
          </w:p>
        </w:tc>
      </w:tr>
    </w:tbl>
    <w:p w:rsidR="00ED5E49" w:rsidRPr="00A059FA" w:rsidRDefault="00ED5E49" w:rsidP="00A059FA">
      <w:pPr>
        <w:rPr>
          <w:sz w:val="20"/>
        </w:rPr>
      </w:pPr>
    </w:p>
    <w:sectPr w:rsidR="00ED5E49" w:rsidRPr="00A059FA" w:rsidSect="00A059FA">
      <w:headerReference w:type="default" r:id="rId12"/>
      <w:footerReference w:type="default" r:id="rId13"/>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1271F1">
      <w:rPr>
        <w:rStyle w:val="PageNumber"/>
        <w:noProof/>
        <w:sz w:val="18"/>
        <w:szCs w:val="18"/>
        <w:lang w:val="es-ES"/>
      </w:rPr>
      <w:t>16</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FA" w:rsidRDefault="00A059FA">
    <w:pPr>
      <w:pStyle w:val="Header"/>
    </w:pPr>
    <w:r>
      <w:rPr>
        <w:noProof/>
        <w:szCs w:val="18"/>
        <w:lang w:val="en-US" w:eastAsia="en-US"/>
      </w:rPr>
      <mc:AlternateContent>
        <mc:Choice Requires="wps">
          <w:drawing>
            <wp:anchor distT="0" distB="0" distL="114300" distR="114300" simplePos="0" relativeHeight="251658240" behindDoc="0" locked="0" layoutInCell="1" allowOverlap="1" wp14:anchorId="2E26B41C" wp14:editId="1DD86D2B">
              <wp:simplePos x="0" y="0"/>
              <wp:positionH relativeFrom="column">
                <wp:posOffset>-560070</wp:posOffset>
              </wp:positionH>
              <wp:positionV relativeFrom="paragraph">
                <wp:posOffset>58420</wp:posOffset>
              </wp:positionV>
              <wp:extent cx="342900" cy="953262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1271F1" w:rsidRPr="001271F1">
                            <w:rPr>
                              <w:rFonts w:asciiTheme="majorHAnsi" w:hAnsiTheme="majorHAnsi"/>
                              <w:i/>
                              <w:iCs/>
                              <w:noProof/>
                              <w:sz w:val="20"/>
                              <w:szCs w:val="20"/>
                            </w:rPr>
                            <w:t>D:\My Stuffs</w:t>
                          </w:r>
                          <w:r w:rsidR="001271F1">
                            <w:rPr>
                              <w:rFonts w:asciiTheme="majorHAnsi" w:hAnsiTheme="majorHAnsi"/>
                              <w:i/>
                              <w:noProof/>
                              <w:sz w:val="20"/>
                              <w:szCs w:val="20"/>
                            </w:rPr>
                            <w:t>\luk.tsipil.ugm.ac.id\atur\sb\Permenkeu52-PMK-02-2014StandarBiayaMasukan2014.docx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1271F1" w:rsidRPr="001271F1">
                            <w:rPr>
                              <w:rFonts w:asciiTheme="majorHAnsi" w:hAnsiTheme="majorHAnsi"/>
                              <w:i/>
                              <w:iCs/>
                              <w:noProof/>
                              <w:sz w:val="20"/>
                              <w:szCs w:val="20"/>
                            </w:rPr>
                            <w:t>101</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1271F1">
                            <w:rPr>
                              <w:rFonts w:asciiTheme="majorHAnsi" w:hAnsiTheme="majorHAnsi"/>
                              <w:i/>
                              <w:iCs/>
                              <w:noProof/>
                              <w:sz w:val="20"/>
                              <w:szCs w:val="20"/>
                            </w:rPr>
                            <w:t>Kamis, 27 Maret 2014</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1271F1" w:rsidRPr="001271F1">
                      <w:rPr>
                        <w:rFonts w:asciiTheme="majorHAnsi" w:hAnsiTheme="majorHAnsi"/>
                        <w:i/>
                        <w:iCs/>
                        <w:noProof/>
                        <w:sz w:val="20"/>
                        <w:szCs w:val="20"/>
                      </w:rPr>
                      <w:t>D:\My Stuffs</w:t>
                    </w:r>
                    <w:r w:rsidR="001271F1">
                      <w:rPr>
                        <w:rFonts w:asciiTheme="majorHAnsi" w:hAnsiTheme="majorHAnsi"/>
                        <w:i/>
                        <w:noProof/>
                        <w:sz w:val="20"/>
                        <w:szCs w:val="20"/>
                      </w:rPr>
                      <w:t>\luk.tsipil.ugm.ac.id\atur\sb\Permenkeu52-PMK-02-2014StandarBiayaMasukan2014.docx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1271F1" w:rsidRPr="001271F1">
                      <w:rPr>
                        <w:rFonts w:asciiTheme="majorHAnsi" w:hAnsiTheme="majorHAnsi"/>
                        <w:i/>
                        <w:iCs/>
                        <w:noProof/>
                        <w:sz w:val="20"/>
                        <w:szCs w:val="20"/>
                      </w:rPr>
                      <w:t>101</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1271F1">
                      <w:rPr>
                        <w:rFonts w:asciiTheme="majorHAnsi" w:hAnsiTheme="majorHAnsi"/>
                        <w:i/>
                        <w:iCs/>
                        <w:noProof/>
                        <w:sz w:val="20"/>
                        <w:szCs w:val="20"/>
                      </w:rPr>
                      <w:t>Kamis, 27 Maret 2014</w:t>
                    </w:r>
                    <w:r w:rsidRPr="00155A49">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271F1"/>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59FA"/>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A059F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A059F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869031131">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3/72~PMK.02~2013P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dih.kemenkeu.go.id/fullText/2013/71~PMK.02~2013Per.htm" TargetMode="External"/><Relationship Id="rId4" Type="http://schemas.openxmlformats.org/officeDocument/2006/relationships/settings" Target="settings.xml"/><Relationship Id="rId9" Type="http://schemas.openxmlformats.org/officeDocument/2006/relationships/hyperlink" Target="http://www.sjdih.kemenkeu.go.id/fullText/2010/90TAHUN2010P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2014-03-26T23:08:00Z</dcterms:created>
  <dcterms:modified xsi:type="dcterms:W3CDTF">2014-03-26T23:08:00Z</dcterms:modified>
  <cp:category>Produk Hukum</cp:category>
</cp:coreProperties>
</file>