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635"/>
        <w:gridCol w:w="257"/>
        <w:gridCol w:w="473"/>
        <w:gridCol w:w="408"/>
        <w:gridCol w:w="134"/>
        <w:gridCol w:w="135"/>
        <w:gridCol w:w="3673"/>
        <w:gridCol w:w="226"/>
        <w:gridCol w:w="2130"/>
      </w:tblGrid>
      <w:tr w:rsidR="009B65E2" w:rsidTr="009B65E2">
        <w:trPr>
          <w:tblCellSpacing w:w="0" w:type="dxa"/>
        </w:trPr>
        <w:tc>
          <w:tcPr>
            <w:tcW w:w="0" w:type="auto"/>
            <w:gridSpan w:val="9"/>
            <w:vAlign w:val="center"/>
            <w:hideMark/>
          </w:tcPr>
          <w:p w:rsidR="009B65E2" w:rsidRDefault="009B65E2" w:rsidP="009B65E2">
            <w:pPr>
              <w:spacing w:after="0" w:line="240" w:lineRule="auto"/>
              <w:jc w:val="center"/>
            </w:pPr>
            <w:r>
              <w:rPr>
                <w:rFonts w:ascii="Bookman Old Style" w:hAnsi="Bookman Old Style"/>
                <w:noProof/>
                <w:lang w:val="en-US" w:eastAsia="en-US"/>
              </w:rPr>
              <w:drawing>
                <wp:inline distT="0" distB="0" distL="0" distR="0">
                  <wp:extent cx="781050" cy="828675"/>
                  <wp:effectExtent l="0" t="0" r="0" b="9525"/>
                  <wp:docPr id="1" name="Picture 1" descr="121~2005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005_P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9B65E2" w:rsidRDefault="009B65E2" w:rsidP="009B65E2">
            <w:pPr>
              <w:spacing w:after="0" w:line="240" w:lineRule="auto"/>
              <w:jc w:val="center"/>
            </w:pPr>
            <w:r>
              <w:rPr>
                <w:rFonts w:ascii="Bookman Old Style" w:hAnsi="Bookman Old Style"/>
                <w:spacing w:val="-2"/>
                <w:sz w:val="16"/>
                <w:szCs w:val="16"/>
                <w:lang w:val="sv-SE"/>
              </w:rPr>
              <w:t xml:space="preserve">MENTERI KEUANGAN </w:t>
            </w:r>
          </w:p>
          <w:p w:rsidR="009B65E2" w:rsidRDefault="009B65E2" w:rsidP="009B65E2">
            <w:pPr>
              <w:spacing w:after="0" w:line="240" w:lineRule="auto"/>
              <w:jc w:val="center"/>
            </w:pPr>
            <w:r>
              <w:rPr>
                <w:rFonts w:ascii="Bookman Old Style" w:hAnsi="Bookman Old Style"/>
                <w:sz w:val="16"/>
                <w:szCs w:val="16"/>
                <w:lang w:val="sv-SE"/>
              </w:rPr>
              <w:t>REPUBLIK INDONESIA</w:t>
            </w:r>
          </w:p>
          <w:p w:rsidR="009B65E2" w:rsidRDefault="009B65E2" w:rsidP="009B65E2">
            <w:pPr>
              <w:pStyle w:val="NormalWeb"/>
              <w:spacing w:before="0" w:beforeAutospacing="0" w:after="0" w:afterAutospacing="0"/>
              <w:jc w:val="center"/>
            </w:pPr>
            <w:r>
              <w:rPr>
                <w:rFonts w:ascii="Bookman Old Style" w:hAnsi="Bookman Old Style"/>
              </w:rPr>
              <w:t>SALINAN</w:t>
            </w:r>
          </w:p>
          <w:p w:rsidR="009B65E2" w:rsidRDefault="009B65E2" w:rsidP="009B65E2">
            <w:pPr>
              <w:pStyle w:val="NormalWeb"/>
              <w:spacing w:before="0" w:beforeAutospacing="0" w:after="0" w:afterAutospacing="0"/>
              <w:jc w:val="center"/>
            </w:pPr>
            <w:r>
              <w:rPr>
                <w:rFonts w:ascii="Bookman Old Style" w:hAnsi="Bookman Old Style"/>
              </w:rPr>
              <w:t>PERATURAN MENTERI KEUANGAN REPUBLIK INDONESIA</w:t>
            </w:r>
          </w:p>
          <w:p w:rsidR="009B65E2" w:rsidRDefault="009B65E2" w:rsidP="009B65E2">
            <w:pPr>
              <w:pStyle w:val="NormalWeb"/>
              <w:spacing w:before="0" w:beforeAutospacing="0" w:after="0" w:afterAutospacing="0"/>
              <w:jc w:val="center"/>
            </w:pPr>
            <w:r>
              <w:rPr>
                <w:rFonts w:ascii="Bookman Old Style" w:hAnsi="Bookman Old Style"/>
              </w:rPr>
              <w:t>NOMOR 117/PMK.02/2013</w:t>
            </w:r>
            <w:r>
              <w:rPr>
                <w:rFonts w:ascii="Bookman Old Style" w:hAnsi="Bookman Old Style"/>
              </w:rPr>
              <w:br/>
            </w:r>
            <w:r>
              <w:rPr>
                <w:rFonts w:ascii="Bookman Old Style" w:hAnsi="Bookman Old Style"/>
              </w:rPr>
              <w:br/>
              <w:t>TENTANG</w:t>
            </w:r>
          </w:p>
          <w:p w:rsidR="009B65E2" w:rsidRDefault="009B65E2" w:rsidP="009B65E2">
            <w:pPr>
              <w:spacing w:after="0" w:line="240" w:lineRule="auto"/>
              <w:jc w:val="center"/>
            </w:pPr>
            <w:r>
              <w:rPr>
                <w:rFonts w:ascii="Bookm" w:hAnsi="Bookm"/>
              </w:rPr>
              <w:t>PERUBAHAN</w:t>
            </w:r>
            <w:r>
              <w:rPr>
                <w:rFonts w:ascii="Bookm" w:hAnsi="Bookm"/>
                <w:spacing w:val="35"/>
              </w:rPr>
              <w:t xml:space="preserve"> </w:t>
            </w:r>
            <w:r>
              <w:rPr>
                <w:rFonts w:ascii="Bookm" w:hAnsi="Bookm"/>
              </w:rPr>
              <w:t>ATAS</w:t>
            </w:r>
            <w:r>
              <w:rPr>
                <w:rFonts w:ascii="Bookm" w:hAnsi="Bookm"/>
                <w:spacing w:val="-2"/>
              </w:rPr>
              <w:t xml:space="preserve"> </w:t>
            </w:r>
            <w:r>
              <w:rPr>
                <w:rFonts w:ascii="Bookm" w:hAnsi="Bookm"/>
              </w:rPr>
              <w:t>PERATURAN</w:t>
            </w:r>
            <w:r>
              <w:rPr>
                <w:rFonts w:ascii="Bookm" w:hAnsi="Bookm"/>
                <w:spacing w:val="-4"/>
              </w:rPr>
              <w:t xml:space="preserve"> </w:t>
            </w:r>
            <w:r>
              <w:rPr>
                <w:rFonts w:ascii="Bookm" w:hAnsi="Bookm"/>
              </w:rPr>
              <w:t>MENTER</w:t>
            </w:r>
            <w:r>
              <w:rPr>
                <w:rFonts w:ascii="Bookm" w:hAnsi="Bookm"/>
                <w:spacing w:val="16"/>
              </w:rPr>
              <w:t xml:space="preserve">I </w:t>
            </w:r>
            <w:r>
              <w:rPr>
                <w:rFonts w:ascii="Bookm" w:hAnsi="Bookm"/>
              </w:rPr>
              <w:t>KEUANGAN</w:t>
            </w:r>
            <w:r>
              <w:rPr>
                <w:rFonts w:ascii="Bookm" w:hAnsi="Bookm"/>
                <w:spacing w:val="16"/>
              </w:rPr>
              <w:t xml:space="preserve"> </w:t>
            </w:r>
          </w:p>
          <w:p w:rsidR="009B65E2" w:rsidRDefault="009B65E2" w:rsidP="009B65E2">
            <w:pPr>
              <w:spacing w:after="0" w:line="240" w:lineRule="auto"/>
              <w:jc w:val="center"/>
            </w:pPr>
            <w:r>
              <w:rPr>
                <w:rFonts w:ascii="Bookm" w:hAnsi="Bookm"/>
              </w:rPr>
              <w:t>NOMOR</w:t>
            </w:r>
            <w:r>
              <w:rPr>
                <w:rFonts w:ascii="Bookm" w:hAnsi="Bookm"/>
                <w:spacing w:val="17"/>
              </w:rPr>
              <w:t xml:space="preserve"> </w:t>
            </w:r>
            <w:r>
              <w:rPr>
                <w:rFonts w:ascii="Bookm" w:hAnsi="Bookm"/>
              </w:rPr>
              <w:t>32/PMK.02/2013</w:t>
            </w:r>
            <w:r>
              <w:rPr>
                <w:rFonts w:ascii="Bookm" w:hAnsi="Bookm"/>
                <w:spacing w:val="-26"/>
              </w:rPr>
              <w:t xml:space="preserve"> </w:t>
            </w:r>
            <w:r>
              <w:rPr>
                <w:rFonts w:ascii="Bookm" w:hAnsi="Bookm"/>
              </w:rPr>
              <w:t>TENTANG</w:t>
            </w:r>
            <w:r>
              <w:rPr>
                <w:rFonts w:ascii="Bookm" w:hAnsi="Bookm"/>
                <w:spacing w:val="2"/>
              </w:rPr>
              <w:t xml:space="preserve"> </w:t>
            </w:r>
            <w:r>
              <w:rPr>
                <w:rFonts w:ascii="Bookm" w:hAnsi="Bookm"/>
              </w:rPr>
              <w:t>TATA</w:t>
            </w:r>
            <w:r>
              <w:rPr>
                <w:rFonts w:ascii="Bookm" w:hAnsi="Bookm"/>
                <w:spacing w:val="-25"/>
              </w:rPr>
              <w:t xml:space="preserve"> </w:t>
            </w:r>
            <w:r>
              <w:rPr>
                <w:rFonts w:ascii="Bookm" w:hAnsi="Bookm"/>
              </w:rPr>
              <w:t>CARA</w:t>
            </w:r>
            <w:r>
              <w:rPr>
                <w:rFonts w:ascii="Bookm" w:hAnsi="Bookm"/>
                <w:spacing w:val="-1"/>
              </w:rPr>
              <w:t xml:space="preserve"> </w:t>
            </w:r>
            <w:r>
              <w:rPr>
                <w:rFonts w:ascii="Bookm" w:hAnsi="Bookm"/>
              </w:rPr>
              <w:t>REVIS</w:t>
            </w:r>
            <w:r>
              <w:rPr>
                <w:rFonts w:ascii="Bookm" w:hAnsi="Bookm"/>
                <w:spacing w:val="3"/>
              </w:rPr>
              <w:t xml:space="preserve">I </w:t>
            </w:r>
            <w:r>
              <w:rPr>
                <w:rFonts w:ascii="Bookm" w:hAnsi="Bookm"/>
              </w:rPr>
              <w:t>ANGGARAN</w:t>
            </w:r>
          </w:p>
          <w:p w:rsidR="009B65E2" w:rsidRDefault="009B65E2" w:rsidP="009B65E2">
            <w:pPr>
              <w:spacing w:after="0" w:line="240" w:lineRule="auto"/>
              <w:jc w:val="center"/>
            </w:pPr>
            <w:r>
              <w:rPr>
                <w:rFonts w:ascii="Bookm" w:hAnsi="Bookm"/>
              </w:rPr>
              <w:t>TAHUN</w:t>
            </w:r>
            <w:r>
              <w:rPr>
                <w:rFonts w:ascii="Bookm" w:hAnsi="Bookm"/>
                <w:spacing w:val="11"/>
              </w:rPr>
              <w:t xml:space="preserve"> </w:t>
            </w:r>
            <w:r>
              <w:rPr>
                <w:rFonts w:ascii="Bookm" w:hAnsi="Bookm"/>
              </w:rPr>
              <w:t>ANGGARAN</w:t>
            </w:r>
            <w:r>
              <w:rPr>
                <w:rFonts w:ascii="Bookm" w:hAnsi="Bookm"/>
                <w:spacing w:val="-12"/>
              </w:rPr>
              <w:t xml:space="preserve"> </w:t>
            </w:r>
            <w:r>
              <w:rPr>
                <w:rFonts w:ascii="Bookm" w:hAnsi="Bookm"/>
              </w:rPr>
              <w:t>2013</w:t>
            </w:r>
          </w:p>
          <w:p w:rsidR="009B65E2" w:rsidRDefault="009B65E2" w:rsidP="009B65E2">
            <w:pPr>
              <w:pStyle w:val="NormalWeb"/>
              <w:spacing w:before="0" w:beforeAutospacing="0" w:after="0" w:afterAutospacing="0"/>
              <w:jc w:val="center"/>
            </w:pPr>
            <w:r>
              <w:rPr>
                <w:rFonts w:ascii="Bookman Old Style" w:hAnsi="Bookman Old Style"/>
              </w:rPr>
              <w:br/>
              <w:t>DENGAN RAHMAT TUHAN YANG MAHA ESA</w:t>
            </w:r>
            <w:r>
              <w:rPr>
                <w:rFonts w:ascii="Bookman Old Style" w:hAnsi="Bookman Old Style"/>
              </w:rPr>
              <w:br/>
            </w:r>
            <w:r>
              <w:rPr>
                <w:rFonts w:ascii="Bookman Old Style" w:hAnsi="Bookman Old Style"/>
              </w:rPr>
              <w:br/>
              <w:t>MENTERI KEUANGAN REPUBLIK INDONESIA,</w:t>
            </w:r>
          </w:p>
        </w:tc>
      </w:tr>
      <w:tr w:rsidR="009B65E2" w:rsidTr="009B65E2">
        <w:trPr>
          <w:tblCellSpacing w:w="0" w:type="dxa"/>
        </w:trPr>
        <w:tc>
          <w:tcPr>
            <w:tcW w:w="500" w:type="pct"/>
            <w:hideMark/>
          </w:tcPr>
          <w:p w:rsidR="009B65E2" w:rsidRDefault="009B65E2" w:rsidP="009B65E2">
            <w:pPr>
              <w:pStyle w:val="NormalWeb"/>
              <w:spacing w:before="0" w:beforeAutospacing="0" w:after="0" w:afterAutospacing="0"/>
              <w:ind w:left="90" w:right="90"/>
              <w:jc w:val="center"/>
            </w:pPr>
            <w:r>
              <w:rPr>
                <w:rFonts w:ascii="Bookman Old Style" w:hAnsi="Bookman Old Style"/>
              </w:rPr>
              <w:t>Menimbang</w:t>
            </w:r>
          </w:p>
        </w:tc>
        <w:tc>
          <w:tcPr>
            <w:tcW w:w="100" w:type="pct"/>
            <w:hideMark/>
          </w:tcPr>
          <w:p w:rsidR="009B65E2" w:rsidRDefault="009B65E2" w:rsidP="009B65E2">
            <w:pPr>
              <w:pStyle w:val="NormalWeb"/>
              <w:spacing w:before="0" w:beforeAutospacing="0" w:after="0" w:afterAutospacing="0"/>
              <w:ind w:left="90" w:right="90"/>
              <w:jc w:val="center"/>
            </w:pPr>
            <w:r>
              <w:rPr>
                <w:rFonts w:ascii="Bookman Old Style" w:hAnsi="Bookman Old Style"/>
              </w:rPr>
              <w:t>:</w:t>
            </w:r>
          </w:p>
        </w:tc>
        <w:tc>
          <w:tcPr>
            <w:tcW w:w="100" w:type="pct"/>
            <w:hideMark/>
          </w:tcPr>
          <w:p w:rsidR="009B65E2" w:rsidRDefault="009B65E2" w:rsidP="009B65E2">
            <w:pPr>
              <w:pStyle w:val="NormalWeb"/>
              <w:spacing w:before="0" w:beforeAutospacing="0" w:after="0" w:afterAutospacing="0"/>
              <w:ind w:left="90" w:right="90"/>
            </w:pPr>
            <w:r>
              <w:rPr>
                <w:rFonts w:ascii="Bookman Old Style" w:hAnsi="Bookman Old Style"/>
              </w:rPr>
              <w:t>a.</w:t>
            </w:r>
          </w:p>
        </w:tc>
        <w:tc>
          <w:tcPr>
            <w:tcW w:w="4500" w:type="pct"/>
            <w:gridSpan w:val="6"/>
            <w:hideMark/>
          </w:tcPr>
          <w:p w:rsidR="009B65E2" w:rsidRDefault="009B65E2" w:rsidP="009B65E2">
            <w:pPr>
              <w:spacing w:after="0" w:line="240" w:lineRule="auto"/>
              <w:jc w:val="center"/>
              <w:rPr>
                <w:sz w:val="24"/>
                <w:szCs w:val="24"/>
              </w:rPr>
            </w:pPr>
            <w:r>
              <w:rPr>
                <w:rFonts w:ascii="Bookman Old Style" w:hAnsi="Bookman Old Style"/>
              </w:rPr>
              <w:t>bahwa berdasarkan</w:t>
            </w:r>
            <w:r>
              <w:rPr>
                <w:rFonts w:ascii="Bookman Old Style" w:hAnsi="Bookman Old Style"/>
                <w:spacing w:val="-37"/>
              </w:rPr>
              <w:t xml:space="preserve"> </w:t>
            </w:r>
            <w:r>
              <w:rPr>
                <w:rFonts w:ascii="Bookman Old Style" w:hAnsi="Bookman Old Style"/>
              </w:rPr>
              <w:t>Peraturan</w:t>
            </w:r>
            <w:r>
              <w:rPr>
                <w:rFonts w:ascii="Bookman Old Style" w:hAnsi="Bookman Old Style"/>
                <w:spacing w:val="-35"/>
              </w:rPr>
              <w:t xml:space="preserve"> </w:t>
            </w:r>
            <w:r>
              <w:rPr>
                <w:rFonts w:ascii="Bookman Old Style" w:hAnsi="Bookman Old Style"/>
              </w:rPr>
              <w:t>Menteri Keuangan Nomor 32/PMK.02/2013 telah diatur tata cara revisi anggaran Tahun</w:t>
            </w:r>
            <w:r>
              <w:rPr>
                <w:rFonts w:ascii="Bookman Old Style" w:hAnsi="Bookman Old Style"/>
                <w:spacing w:val="43"/>
              </w:rPr>
              <w:t xml:space="preserve"> </w:t>
            </w:r>
            <w:r>
              <w:rPr>
                <w:rFonts w:ascii="Bookman Old Style" w:hAnsi="Bookman Old Style"/>
              </w:rPr>
              <w:t>Anggaran</w:t>
            </w:r>
            <w:r>
              <w:rPr>
                <w:rFonts w:ascii="Bookman Old Style" w:hAnsi="Bookman Old Style"/>
                <w:spacing w:val="-14"/>
              </w:rPr>
              <w:t xml:space="preserve"> </w:t>
            </w:r>
            <w:r>
              <w:rPr>
                <w:rFonts w:ascii="Bookman Old Style" w:hAnsi="Bookman Old Style"/>
              </w:rPr>
              <w:t>2013;</w:t>
            </w:r>
          </w:p>
        </w:tc>
      </w:tr>
      <w:tr w:rsidR="009B65E2" w:rsidTr="009B65E2">
        <w:trPr>
          <w:tblCellSpacing w:w="0" w:type="dxa"/>
        </w:trPr>
        <w:tc>
          <w:tcPr>
            <w:tcW w:w="500" w:type="pct"/>
            <w:vAlign w:val="center"/>
            <w:hideMark/>
          </w:tcPr>
          <w:p w:rsidR="009B65E2" w:rsidRDefault="009B65E2" w:rsidP="009B65E2">
            <w:pPr>
              <w:spacing w:after="0" w:line="240" w:lineRule="auto"/>
              <w:rPr>
                <w:sz w:val="24"/>
                <w:szCs w:val="24"/>
              </w:rPr>
            </w:pPr>
          </w:p>
        </w:tc>
        <w:tc>
          <w:tcPr>
            <w:tcW w:w="100" w:type="pct"/>
            <w:vAlign w:val="center"/>
            <w:hideMark/>
          </w:tcPr>
          <w:p w:rsidR="009B65E2" w:rsidRDefault="009B65E2" w:rsidP="009B65E2">
            <w:pPr>
              <w:spacing w:after="0" w:line="240" w:lineRule="auto"/>
              <w:rPr>
                <w:sz w:val="24"/>
                <w:szCs w:val="24"/>
              </w:rPr>
            </w:pPr>
          </w:p>
        </w:tc>
        <w:tc>
          <w:tcPr>
            <w:tcW w:w="100" w:type="pct"/>
            <w:hideMark/>
          </w:tcPr>
          <w:p w:rsidR="009B65E2" w:rsidRDefault="009B65E2" w:rsidP="009B65E2">
            <w:pPr>
              <w:pStyle w:val="NormalWeb"/>
              <w:spacing w:before="0" w:beforeAutospacing="0" w:after="0" w:afterAutospacing="0"/>
              <w:ind w:left="90" w:right="90"/>
            </w:pPr>
            <w:r>
              <w:rPr>
                <w:rFonts w:ascii="Bookman Old Style" w:hAnsi="Bookman Old Style"/>
              </w:rPr>
              <w:t>b.</w:t>
            </w:r>
          </w:p>
        </w:tc>
        <w:tc>
          <w:tcPr>
            <w:tcW w:w="4500" w:type="pct"/>
            <w:gridSpan w:val="6"/>
            <w:hideMark/>
          </w:tcPr>
          <w:p w:rsidR="009B65E2" w:rsidRDefault="009B65E2" w:rsidP="009B65E2">
            <w:pPr>
              <w:pStyle w:val="NormalWeb"/>
              <w:spacing w:before="0" w:beforeAutospacing="0" w:after="0" w:afterAutospacing="0"/>
              <w:ind w:left="90" w:right="90"/>
            </w:pPr>
            <w:r>
              <w:rPr>
                <w:rFonts w:ascii="Bookman Old Style" w:hAnsi="Bookman Old Style"/>
              </w:rPr>
              <w:t>bahwa dalam rangka penyusunan Anggaran Pendapatan dan Belanja Negara (APBN) Perubahan Tahun Anggaran 2013 telah dilakukan pergeseran anggaran antar kegiatan, pergeseran anggaran antar program, penghematan anggaran, realokasi anggaran termasuk pemanfaatan kembali alokasi anggaran yang diblokir, serta pemberian penghargaan dan sanksi;</w:t>
            </w:r>
          </w:p>
        </w:tc>
      </w:tr>
      <w:tr w:rsidR="009B65E2" w:rsidTr="009B65E2">
        <w:trPr>
          <w:tblCellSpacing w:w="0" w:type="dxa"/>
        </w:trPr>
        <w:tc>
          <w:tcPr>
            <w:tcW w:w="500" w:type="pct"/>
            <w:vAlign w:val="center"/>
            <w:hideMark/>
          </w:tcPr>
          <w:p w:rsidR="009B65E2" w:rsidRDefault="009B65E2" w:rsidP="009B65E2">
            <w:pPr>
              <w:spacing w:after="0" w:line="240" w:lineRule="auto"/>
              <w:rPr>
                <w:sz w:val="24"/>
                <w:szCs w:val="24"/>
              </w:rPr>
            </w:pPr>
          </w:p>
        </w:tc>
        <w:tc>
          <w:tcPr>
            <w:tcW w:w="100" w:type="pct"/>
            <w:vAlign w:val="center"/>
            <w:hideMark/>
          </w:tcPr>
          <w:p w:rsidR="009B65E2" w:rsidRDefault="009B65E2" w:rsidP="009B65E2">
            <w:pPr>
              <w:spacing w:after="0" w:line="240" w:lineRule="auto"/>
              <w:rPr>
                <w:sz w:val="24"/>
                <w:szCs w:val="24"/>
              </w:rPr>
            </w:pPr>
          </w:p>
        </w:tc>
        <w:tc>
          <w:tcPr>
            <w:tcW w:w="100" w:type="pct"/>
            <w:hideMark/>
          </w:tcPr>
          <w:p w:rsidR="009B65E2" w:rsidRDefault="009B65E2" w:rsidP="009B65E2">
            <w:pPr>
              <w:pStyle w:val="NormalWeb"/>
              <w:spacing w:before="0" w:beforeAutospacing="0" w:after="0" w:afterAutospacing="0"/>
              <w:ind w:left="90" w:right="90"/>
            </w:pPr>
            <w:r>
              <w:rPr>
                <w:rFonts w:ascii="Bookman Old Style" w:hAnsi="Bookman Old Style"/>
              </w:rPr>
              <w:t>c.</w:t>
            </w:r>
          </w:p>
        </w:tc>
        <w:tc>
          <w:tcPr>
            <w:tcW w:w="4500" w:type="pct"/>
            <w:gridSpan w:val="6"/>
            <w:hideMark/>
          </w:tcPr>
          <w:p w:rsidR="009B65E2" w:rsidRDefault="009B65E2" w:rsidP="009B65E2">
            <w:pPr>
              <w:spacing w:after="0" w:line="240" w:lineRule="auto"/>
              <w:rPr>
                <w:sz w:val="24"/>
                <w:szCs w:val="24"/>
              </w:rPr>
            </w:pPr>
            <w:r>
              <w:rPr>
                <w:rFonts w:ascii="Bookman Old Style" w:hAnsi="Bookman Old Style"/>
              </w:rPr>
              <w:t>bahwa berdasarkan Undang-Undang Nomor 15 Tahun 2013 tentang Perubahan Atas Undang-Undang Nomor 19 Tahun 2012 tentang Anggaran Pendapatan dan Belanja Negara Perubahan Tahun Anggaran 2013, telah ditetapkan perubahan anggaran yang disepakati oleh Pemerintah dan Dewan Perwakilan Rakyat yang perlu segera ditindaklanjuti;</w:t>
            </w:r>
          </w:p>
        </w:tc>
      </w:tr>
      <w:tr w:rsidR="009B65E2" w:rsidTr="009B65E2">
        <w:trPr>
          <w:tblCellSpacing w:w="0" w:type="dxa"/>
        </w:trPr>
        <w:tc>
          <w:tcPr>
            <w:tcW w:w="500" w:type="pct"/>
            <w:vAlign w:val="center"/>
            <w:hideMark/>
          </w:tcPr>
          <w:p w:rsidR="009B65E2" w:rsidRDefault="009B65E2" w:rsidP="009B65E2">
            <w:pPr>
              <w:spacing w:after="0" w:line="240" w:lineRule="auto"/>
              <w:rPr>
                <w:sz w:val="24"/>
                <w:szCs w:val="24"/>
              </w:rPr>
            </w:pPr>
          </w:p>
        </w:tc>
        <w:tc>
          <w:tcPr>
            <w:tcW w:w="100" w:type="pct"/>
            <w:vAlign w:val="center"/>
            <w:hideMark/>
          </w:tcPr>
          <w:p w:rsidR="009B65E2" w:rsidRDefault="009B65E2" w:rsidP="009B65E2">
            <w:pPr>
              <w:spacing w:after="0" w:line="240" w:lineRule="auto"/>
              <w:rPr>
                <w:sz w:val="24"/>
                <w:szCs w:val="24"/>
              </w:rPr>
            </w:pPr>
          </w:p>
        </w:tc>
        <w:tc>
          <w:tcPr>
            <w:tcW w:w="100" w:type="pct"/>
            <w:hideMark/>
          </w:tcPr>
          <w:p w:rsidR="009B65E2" w:rsidRDefault="009B65E2" w:rsidP="009B65E2">
            <w:pPr>
              <w:pStyle w:val="NormalWeb"/>
              <w:spacing w:before="0" w:beforeAutospacing="0" w:after="0" w:afterAutospacing="0"/>
              <w:ind w:left="90" w:right="90"/>
            </w:pPr>
            <w:r>
              <w:rPr>
                <w:rFonts w:ascii="Bookman Old Style" w:hAnsi="Bookman Old Style"/>
              </w:rPr>
              <w:t>d.</w:t>
            </w:r>
          </w:p>
        </w:tc>
        <w:tc>
          <w:tcPr>
            <w:tcW w:w="4500" w:type="pct"/>
            <w:gridSpan w:val="6"/>
            <w:hideMark/>
          </w:tcPr>
          <w:p w:rsidR="009B65E2" w:rsidRDefault="009B65E2" w:rsidP="009B65E2">
            <w:pPr>
              <w:spacing w:after="0" w:line="240" w:lineRule="auto"/>
              <w:rPr>
                <w:sz w:val="24"/>
                <w:szCs w:val="24"/>
              </w:rPr>
            </w:pPr>
            <w:r>
              <w:rPr>
                <w:rFonts w:ascii="Bookman Old Style" w:hAnsi="Bookman Old Style"/>
              </w:rPr>
              <w:t>bahwa untuk penyelesaian dokumen anggaran dalam rangka pelaksanaan anggaran berdasarkari perubahan APBN yang ditetapkan dalam Undang-Undang Nomor 15 Tahun 2013 tentang Perubahan Atas Undang-Undang Nomor 19 Tahun 2012 tentang Anggaran Pendapatan dan Belanja Negara Perubahan Tahun Anggaran 2013, perlu dilakukan perubahan atas Peraturan Menteri Keuangan Nomor 32/PMK.02/2013;</w:t>
            </w:r>
          </w:p>
        </w:tc>
      </w:tr>
      <w:tr w:rsidR="009B65E2" w:rsidTr="009B65E2">
        <w:trPr>
          <w:tblCellSpacing w:w="0" w:type="dxa"/>
        </w:trPr>
        <w:tc>
          <w:tcPr>
            <w:tcW w:w="500" w:type="pct"/>
            <w:vAlign w:val="center"/>
            <w:hideMark/>
          </w:tcPr>
          <w:p w:rsidR="009B65E2" w:rsidRDefault="009B65E2" w:rsidP="009B65E2">
            <w:pPr>
              <w:spacing w:after="0" w:line="240" w:lineRule="auto"/>
              <w:rPr>
                <w:sz w:val="24"/>
                <w:szCs w:val="24"/>
              </w:rPr>
            </w:pPr>
          </w:p>
        </w:tc>
        <w:tc>
          <w:tcPr>
            <w:tcW w:w="100" w:type="pct"/>
            <w:vAlign w:val="center"/>
            <w:hideMark/>
          </w:tcPr>
          <w:p w:rsidR="009B65E2" w:rsidRDefault="009B65E2" w:rsidP="009B65E2">
            <w:pPr>
              <w:spacing w:after="0" w:line="240" w:lineRule="auto"/>
              <w:rPr>
                <w:sz w:val="24"/>
                <w:szCs w:val="24"/>
              </w:rPr>
            </w:pPr>
          </w:p>
        </w:tc>
        <w:tc>
          <w:tcPr>
            <w:tcW w:w="100" w:type="pct"/>
            <w:hideMark/>
          </w:tcPr>
          <w:p w:rsidR="009B65E2" w:rsidRDefault="009B65E2" w:rsidP="009B65E2">
            <w:pPr>
              <w:pStyle w:val="NormalWeb"/>
              <w:spacing w:before="0" w:beforeAutospacing="0" w:after="0" w:afterAutospacing="0"/>
              <w:ind w:left="90" w:right="90"/>
            </w:pPr>
            <w:r>
              <w:rPr>
                <w:rFonts w:ascii="Bookman Old Style" w:hAnsi="Bookman Old Style"/>
              </w:rPr>
              <w:t xml:space="preserve">e. </w:t>
            </w:r>
          </w:p>
        </w:tc>
        <w:tc>
          <w:tcPr>
            <w:tcW w:w="4500" w:type="pct"/>
            <w:gridSpan w:val="6"/>
            <w:hideMark/>
          </w:tcPr>
          <w:p w:rsidR="009B65E2" w:rsidRDefault="009B65E2" w:rsidP="009B65E2">
            <w:pPr>
              <w:pStyle w:val="NormalWeb"/>
              <w:spacing w:before="0" w:beforeAutospacing="0" w:after="0" w:afterAutospacing="0"/>
              <w:ind w:left="90" w:right="90"/>
            </w:pPr>
            <w:r>
              <w:rPr>
                <w:rFonts w:ascii="Bookman Old Style" w:hAnsi="Bookman Old Style"/>
              </w:rPr>
              <w:t>bahwa berdasarkan pertimbangan sebagaimana dimaksud dalam huruf a, huruf b, huruf c, dan huruf d perlu menetapkan Peraturan Menteri Keuangan tentang Perubahan Atas Peraturan Menteri Keuangan Nomor 32/PMK.02/2013 tentang Tata Cara Revisi Anggaran Tahun Anggaran 2013;</w:t>
            </w:r>
          </w:p>
        </w:tc>
      </w:tr>
      <w:tr w:rsidR="009B65E2" w:rsidTr="009B65E2">
        <w:trPr>
          <w:tblCellSpacing w:w="0" w:type="dxa"/>
        </w:trPr>
        <w:tc>
          <w:tcPr>
            <w:tcW w:w="500" w:type="pct"/>
            <w:hideMark/>
          </w:tcPr>
          <w:p w:rsidR="009B65E2" w:rsidRDefault="009B65E2" w:rsidP="009B65E2">
            <w:pPr>
              <w:pStyle w:val="NormalWeb"/>
              <w:spacing w:before="0" w:beforeAutospacing="0" w:after="0" w:afterAutospacing="0"/>
              <w:ind w:left="90" w:right="90"/>
              <w:jc w:val="center"/>
            </w:pPr>
            <w:r>
              <w:rPr>
                <w:rFonts w:ascii="Bookman Old Style" w:hAnsi="Bookman Old Style"/>
              </w:rPr>
              <w:t>Mengingat</w:t>
            </w:r>
          </w:p>
        </w:tc>
        <w:tc>
          <w:tcPr>
            <w:tcW w:w="100" w:type="pct"/>
            <w:hideMark/>
          </w:tcPr>
          <w:p w:rsidR="009B65E2" w:rsidRDefault="009B65E2" w:rsidP="009B65E2">
            <w:pPr>
              <w:pStyle w:val="NormalWeb"/>
              <w:spacing w:before="0" w:beforeAutospacing="0" w:after="0" w:afterAutospacing="0"/>
              <w:ind w:left="90" w:right="90"/>
              <w:jc w:val="center"/>
            </w:pPr>
            <w:r>
              <w:rPr>
                <w:rFonts w:ascii="Bookman Old Style" w:hAnsi="Bookman Old Style"/>
              </w:rPr>
              <w:t>:</w:t>
            </w:r>
          </w:p>
        </w:tc>
        <w:tc>
          <w:tcPr>
            <w:tcW w:w="100" w:type="pct"/>
            <w:hideMark/>
          </w:tcPr>
          <w:p w:rsidR="009B65E2" w:rsidRDefault="009B65E2" w:rsidP="009B65E2">
            <w:pPr>
              <w:pStyle w:val="NormalWeb"/>
              <w:spacing w:before="0" w:beforeAutospacing="0" w:after="0" w:afterAutospacing="0"/>
              <w:ind w:left="90" w:right="90"/>
              <w:jc w:val="center"/>
            </w:pPr>
            <w:r>
              <w:rPr>
                <w:rFonts w:ascii="Bookman Old Style" w:hAnsi="Bookman Old Style"/>
              </w:rPr>
              <w:t>1.</w:t>
            </w:r>
          </w:p>
        </w:tc>
        <w:tc>
          <w:tcPr>
            <w:tcW w:w="4500" w:type="pct"/>
            <w:gridSpan w:val="6"/>
            <w:hideMark/>
          </w:tcPr>
          <w:p w:rsidR="009B65E2" w:rsidRDefault="009B65E2" w:rsidP="009B65E2">
            <w:pPr>
              <w:pStyle w:val="NormalWeb"/>
              <w:spacing w:before="0" w:beforeAutospacing="0" w:after="0" w:afterAutospacing="0"/>
              <w:ind w:left="90" w:right="90"/>
              <w:jc w:val="center"/>
            </w:pPr>
            <w:hyperlink r:id="rId9" w:history="1">
              <w:r>
                <w:rPr>
                  <w:rStyle w:val="Hyperlink"/>
                  <w:rFonts w:ascii="Bookman Old Style" w:hAnsi="Bookman Old Style"/>
                </w:rPr>
                <w:t>Undang-Undang Nomor 19 Tahun 2012</w:t>
              </w:r>
            </w:hyperlink>
            <w:r>
              <w:rPr>
                <w:rFonts w:ascii="Bookman Old Style" w:hAnsi="Bookman Old Style"/>
              </w:rPr>
              <w:t xml:space="preserve"> tentang Anggaran Pendapatan dan Belanja Negara Tahun Anggaran 2013 (Lembaran Negara Republik Indonesia Tahun 2012 Nomor 228, Tambahan Lembaran Negara Republik Indonesia Nomor 5361, sebagaimana telah </w:t>
            </w:r>
            <w:r>
              <w:rPr>
                <w:rFonts w:ascii="Bookman Old Style" w:hAnsi="Bookman Old Style"/>
              </w:rPr>
              <w:lastRenderedPageBreak/>
              <w:t xml:space="preserve">diubah dengan </w:t>
            </w:r>
            <w:hyperlink r:id="rId10" w:history="1">
              <w:r>
                <w:rPr>
                  <w:rStyle w:val="Hyperlink"/>
                  <w:rFonts w:ascii="Bookman Old Style" w:hAnsi="Bookman Old Style"/>
                </w:rPr>
                <w:t>Undang-Undang Nomor 15 Tahun 2013</w:t>
              </w:r>
            </w:hyperlink>
            <w:r>
              <w:rPr>
                <w:rFonts w:ascii="Bookman Old Style" w:hAnsi="Bookman Old Style"/>
              </w:rPr>
              <w:t xml:space="preserve"> (Lembaran Negara Republik Indonesia Tahun 2013 Nomor 108, Tambahan Lembaran Negara Republik Indonesia Nomor 5426);</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pStyle w:val="NormalWeb"/>
              <w:spacing w:before="0" w:beforeAutospacing="0" w:after="0" w:afterAutospacing="0"/>
              <w:ind w:left="90" w:right="90"/>
            </w:pPr>
            <w:r>
              <w:rPr>
                <w:rFonts w:ascii="Bookman Old Style" w:hAnsi="Bookman Old Style"/>
              </w:rPr>
              <w:t>2.</w:t>
            </w:r>
          </w:p>
        </w:tc>
        <w:tc>
          <w:tcPr>
            <w:tcW w:w="4500" w:type="pct"/>
            <w:gridSpan w:val="6"/>
            <w:hideMark/>
          </w:tcPr>
          <w:p w:rsidR="009B65E2" w:rsidRDefault="009B65E2" w:rsidP="009B65E2">
            <w:pPr>
              <w:pStyle w:val="NormalWeb"/>
              <w:spacing w:before="0" w:beforeAutospacing="0" w:after="0" w:afterAutospacing="0"/>
              <w:ind w:left="90" w:right="90"/>
            </w:pPr>
            <w:hyperlink r:id="rId11" w:history="1">
              <w:r>
                <w:rPr>
                  <w:rStyle w:val="Hyperlink"/>
                  <w:rFonts w:ascii="Bookman Old Style" w:hAnsi="Bookman Old Style"/>
                </w:rPr>
                <w:t>Peraturan Menteri Keuangan Nomor 32/PMK.02/2013</w:t>
              </w:r>
            </w:hyperlink>
            <w:r>
              <w:rPr>
                <w:rFonts w:ascii="Bookman Old Style" w:hAnsi="Bookman Old Style"/>
              </w:rPr>
              <w:t xml:space="preserve"> tentang Tata Cara Revisi Anggaran Tahun Anggaran 2013;</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4600" w:type="pct"/>
            <w:gridSpan w:val="7"/>
            <w:hideMark/>
          </w:tcPr>
          <w:p w:rsidR="009B65E2" w:rsidRDefault="009B65E2" w:rsidP="009B65E2">
            <w:pPr>
              <w:pStyle w:val="NormalWeb"/>
              <w:spacing w:before="0" w:beforeAutospacing="0" w:after="0" w:afterAutospacing="0"/>
              <w:ind w:left="90" w:right="90"/>
              <w:jc w:val="center"/>
            </w:pPr>
            <w:r>
              <w:rPr>
                <w:rFonts w:ascii="Bookman Old Style" w:hAnsi="Bookman Old Style"/>
              </w:rPr>
              <w:t>MEMUTUSKAN:</w:t>
            </w:r>
          </w:p>
        </w:tc>
      </w:tr>
      <w:tr w:rsidR="009B65E2" w:rsidTr="009B65E2">
        <w:trPr>
          <w:tblCellSpacing w:w="0" w:type="dxa"/>
        </w:trPr>
        <w:tc>
          <w:tcPr>
            <w:tcW w:w="500" w:type="pct"/>
            <w:hideMark/>
          </w:tcPr>
          <w:p w:rsidR="009B65E2" w:rsidRDefault="009B65E2" w:rsidP="009B65E2">
            <w:pPr>
              <w:pStyle w:val="NormalWeb"/>
              <w:spacing w:before="0" w:beforeAutospacing="0" w:after="0" w:afterAutospacing="0"/>
              <w:ind w:left="90" w:right="90"/>
              <w:jc w:val="center"/>
            </w:pPr>
            <w:r>
              <w:rPr>
                <w:rFonts w:ascii="Bookman Old Style" w:hAnsi="Bookman Old Style"/>
              </w:rPr>
              <w:t>Menetapkan</w:t>
            </w:r>
          </w:p>
        </w:tc>
        <w:tc>
          <w:tcPr>
            <w:tcW w:w="100" w:type="pct"/>
            <w:hideMark/>
          </w:tcPr>
          <w:p w:rsidR="009B65E2" w:rsidRDefault="009B65E2" w:rsidP="009B65E2">
            <w:pPr>
              <w:pStyle w:val="NormalWeb"/>
              <w:spacing w:before="0" w:beforeAutospacing="0" w:after="0" w:afterAutospacing="0"/>
              <w:ind w:left="90" w:right="90"/>
            </w:pPr>
            <w:r>
              <w:rPr>
                <w:rFonts w:ascii="Bookman Old Style" w:hAnsi="Bookman Old Style"/>
              </w:rPr>
              <w:t>:</w:t>
            </w:r>
          </w:p>
        </w:tc>
        <w:tc>
          <w:tcPr>
            <w:tcW w:w="4600" w:type="pct"/>
            <w:gridSpan w:val="7"/>
            <w:hideMark/>
          </w:tcPr>
          <w:p w:rsidR="009B65E2" w:rsidRDefault="009B65E2" w:rsidP="009B65E2">
            <w:pPr>
              <w:pStyle w:val="NormalWeb"/>
              <w:spacing w:before="0" w:beforeAutospacing="0" w:after="0" w:afterAutospacing="0"/>
              <w:ind w:left="90" w:right="90"/>
            </w:pPr>
            <w:r>
              <w:rPr>
                <w:rFonts w:ascii="Bookman Old Style" w:hAnsi="Bookman Old Style"/>
              </w:rPr>
              <w:t>PERATURAN MENTERI KEUANGAN TENTANG PERUBAHAN ATAS PERATURAN MENTERI KEUANGAN NOMOR 32/PMK.02/2013 TENTANG TATA CARA REVISI ANGGARAN TAHUN ANGGARAN 2013.</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4600" w:type="pct"/>
            <w:gridSpan w:val="7"/>
            <w:hideMark/>
          </w:tcPr>
          <w:p w:rsidR="009B65E2" w:rsidRDefault="009B65E2" w:rsidP="009B65E2">
            <w:pPr>
              <w:pStyle w:val="NormalWeb"/>
              <w:spacing w:before="0" w:beforeAutospacing="0" w:after="0" w:afterAutospacing="0"/>
              <w:ind w:left="90" w:right="90"/>
              <w:jc w:val="center"/>
            </w:pPr>
            <w:r>
              <w:rPr>
                <w:rFonts w:ascii="Bookman Old Style" w:hAnsi="Bookman Old Style"/>
              </w:rPr>
              <w:t>Pasal I</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4600" w:type="pct"/>
            <w:gridSpan w:val="7"/>
            <w:hideMark/>
          </w:tcPr>
          <w:p w:rsidR="009B65E2" w:rsidRDefault="009B65E2" w:rsidP="009B65E2">
            <w:pPr>
              <w:pStyle w:val="NormalWeb"/>
              <w:spacing w:before="0" w:beforeAutospacing="0" w:after="0" w:afterAutospacing="0"/>
              <w:ind w:left="90" w:right="90"/>
            </w:pPr>
            <w:r>
              <w:rPr>
                <w:rFonts w:ascii="Bookman Old Style" w:hAnsi="Bookman Old Style"/>
              </w:rPr>
              <w:t>Di antara Pasal 57 dan Pasal 58 Peraturan Menteri Keuangan Nomor 32/PMK.02/2013 tentang Tata Cara Revisi Anggaran Tahun Anggaran 2013 disisipkan 1 (satu) pasal, yakni Pasal 57A, sehingga Pasal 57A berbunyi sebagai berikut:</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4500" w:type="pct"/>
            <w:gridSpan w:val="6"/>
            <w:hideMark/>
          </w:tcPr>
          <w:p w:rsidR="009B65E2" w:rsidRDefault="009B65E2" w:rsidP="009B65E2">
            <w:pPr>
              <w:pStyle w:val="NormalWeb"/>
              <w:spacing w:before="0" w:beforeAutospacing="0" w:after="0" w:afterAutospacing="0"/>
              <w:ind w:left="90" w:right="90"/>
              <w:jc w:val="center"/>
            </w:pPr>
            <w:r>
              <w:rPr>
                <w:rFonts w:ascii="Bookman Old Style" w:hAnsi="Bookman Old Style"/>
              </w:rPr>
              <w:t>Pasal 57A</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pStyle w:val="NormalWeb"/>
              <w:spacing w:before="0" w:beforeAutospacing="0" w:after="0" w:afterAutospacing="0"/>
              <w:ind w:left="90" w:right="90"/>
            </w:pPr>
            <w:r>
              <w:rPr>
                <w:rFonts w:ascii="Bookman Old Style" w:hAnsi="Bookman Old Style"/>
              </w:rPr>
              <w:t>(1)</w:t>
            </w:r>
          </w:p>
        </w:tc>
        <w:tc>
          <w:tcPr>
            <w:tcW w:w="4500" w:type="pct"/>
            <w:gridSpan w:val="6"/>
            <w:hideMark/>
          </w:tcPr>
          <w:p w:rsidR="009B65E2" w:rsidRDefault="009B65E2" w:rsidP="009B65E2">
            <w:pPr>
              <w:pStyle w:val="NormalWeb"/>
              <w:spacing w:before="0" w:beforeAutospacing="0" w:after="0" w:afterAutospacing="0"/>
              <w:ind w:left="90" w:right="90"/>
            </w:pPr>
            <w:r>
              <w:rPr>
                <w:rFonts w:ascii="Bookman Old Style" w:hAnsi="Bookman Old Style"/>
              </w:rPr>
              <w:t>Revisi Anggaran yang terjadi sebagai akibat dari ditetapkannya APBN Perubahan Tahun Anggaran 2013, menjadi dasar penyelesaian revisi dokumen RKA-K/L DIPA Tahun Anggaran 2013.</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pStyle w:val="NormalWeb"/>
              <w:spacing w:before="0" w:beforeAutospacing="0" w:after="0" w:afterAutospacing="0"/>
              <w:ind w:left="90" w:right="90"/>
            </w:pPr>
            <w:r>
              <w:rPr>
                <w:rFonts w:ascii="Bookman Old Style" w:hAnsi="Bookman Old Style"/>
              </w:rPr>
              <w:t>(2)</w:t>
            </w:r>
          </w:p>
        </w:tc>
        <w:tc>
          <w:tcPr>
            <w:tcW w:w="4500" w:type="pct"/>
            <w:gridSpan w:val="6"/>
            <w:hideMark/>
          </w:tcPr>
          <w:p w:rsidR="009B65E2" w:rsidRDefault="009B65E2" w:rsidP="009B65E2">
            <w:pPr>
              <w:pStyle w:val="NormalWeb"/>
              <w:spacing w:before="0" w:beforeAutospacing="0" w:after="0" w:afterAutospacing="0"/>
              <w:ind w:left="90" w:right="90"/>
            </w:pPr>
            <w:r>
              <w:rPr>
                <w:rFonts w:ascii="Bookman Old Style" w:hAnsi="Bookman Old Style"/>
              </w:rPr>
              <w:t>Revisi Anggaran sebagaimana dimaksud pada ayat (1) meliputi antara lain:</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200" w:type="pct"/>
            <w:hideMark/>
          </w:tcPr>
          <w:p w:rsidR="009B65E2" w:rsidRDefault="009B65E2" w:rsidP="009B65E2">
            <w:pPr>
              <w:pStyle w:val="NormalWeb"/>
              <w:spacing w:before="0" w:beforeAutospacing="0" w:after="0" w:afterAutospacing="0"/>
              <w:ind w:left="90" w:right="90"/>
              <w:jc w:val="center"/>
            </w:pPr>
            <w:r>
              <w:rPr>
                <w:rFonts w:ascii="Bookman Old Style" w:hAnsi="Bookman Old Style"/>
              </w:rPr>
              <w:t>a.</w:t>
            </w:r>
          </w:p>
        </w:tc>
        <w:tc>
          <w:tcPr>
            <w:tcW w:w="8500" w:type="pct"/>
            <w:gridSpan w:val="5"/>
            <w:hideMark/>
          </w:tcPr>
          <w:p w:rsidR="009B65E2" w:rsidRDefault="009B65E2" w:rsidP="009B65E2">
            <w:pPr>
              <w:pStyle w:val="NormalWeb"/>
              <w:spacing w:before="0" w:beforeAutospacing="0" w:after="0" w:afterAutospacing="0"/>
              <w:ind w:left="90" w:right="90"/>
            </w:pPr>
            <w:r>
              <w:rPr>
                <w:rFonts w:ascii="Bookman Old Style" w:hAnsi="Bookman Old Style"/>
              </w:rPr>
              <w:t>pergeseran anggaran antar Kegiatan yang tidak berasal dari Hasil Optimalisasi dan/ atau Sisa Anggaran Swakelola;</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200" w:type="pct"/>
            <w:hideMark/>
          </w:tcPr>
          <w:p w:rsidR="009B65E2" w:rsidRDefault="009B65E2" w:rsidP="009B65E2">
            <w:pPr>
              <w:pStyle w:val="NormalWeb"/>
              <w:spacing w:before="0" w:beforeAutospacing="0" w:after="0" w:afterAutospacing="0"/>
              <w:ind w:left="90" w:right="90"/>
              <w:jc w:val="center"/>
            </w:pPr>
            <w:r>
              <w:rPr>
                <w:rFonts w:ascii="Bookman Old Style" w:hAnsi="Bookman Old Style"/>
              </w:rPr>
              <w:t>b.</w:t>
            </w:r>
          </w:p>
        </w:tc>
        <w:tc>
          <w:tcPr>
            <w:tcW w:w="8500" w:type="pct"/>
            <w:gridSpan w:val="5"/>
            <w:hideMark/>
          </w:tcPr>
          <w:p w:rsidR="009B65E2" w:rsidRDefault="009B65E2" w:rsidP="009B65E2">
            <w:pPr>
              <w:pStyle w:val="NormalWeb"/>
              <w:spacing w:before="0" w:beforeAutospacing="0" w:after="0" w:afterAutospacing="0"/>
              <w:ind w:left="90" w:right="90"/>
            </w:pPr>
            <w:r>
              <w:rPr>
                <w:rFonts w:ascii="Bookman Old Style" w:hAnsi="Bookman Old Style"/>
              </w:rPr>
              <w:t>pergeseran anggaran antar Program; dan/ atau</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200" w:type="pct"/>
            <w:hideMark/>
          </w:tcPr>
          <w:p w:rsidR="009B65E2" w:rsidRDefault="009B65E2" w:rsidP="009B65E2">
            <w:pPr>
              <w:pStyle w:val="NormalWeb"/>
              <w:spacing w:before="0" w:beforeAutospacing="0" w:after="0" w:afterAutospacing="0"/>
              <w:ind w:left="90" w:right="90"/>
              <w:jc w:val="center"/>
            </w:pPr>
            <w:r>
              <w:rPr>
                <w:rFonts w:ascii="Bookman Old Style" w:hAnsi="Bookman Old Style"/>
              </w:rPr>
              <w:t>c.</w:t>
            </w:r>
          </w:p>
        </w:tc>
        <w:tc>
          <w:tcPr>
            <w:tcW w:w="8500" w:type="pct"/>
            <w:gridSpan w:val="5"/>
            <w:hideMark/>
          </w:tcPr>
          <w:p w:rsidR="009B65E2" w:rsidRDefault="009B65E2" w:rsidP="009B65E2">
            <w:pPr>
              <w:pStyle w:val="NormalWeb"/>
              <w:spacing w:before="0" w:beforeAutospacing="0" w:after="0" w:afterAutospacing="0"/>
              <w:ind w:left="90" w:right="90"/>
            </w:pPr>
            <w:r>
              <w:rPr>
                <w:rFonts w:ascii="Bookman Old Style" w:hAnsi="Bookman Old Style"/>
              </w:rPr>
              <w:t>realokasi anggaran termasuk pemanfaatan kembali alokasi anggaran yang diblokir.</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pStyle w:val="NormalWeb"/>
              <w:spacing w:before="0" w:beforeAutospacing="0" w:after="0" w:afterAutospacing="0"/>
              <w:ind w:left="90" w:right="90"/>
            </w:pPr>
            <w:r>
              <w:rPr>
                <w:rFonts w:ascii="Bookman Old Style" w:hAnsi="Bookman Old Style"/>
              </w:rPr>
              <w:t>(3)</w:t>
            </w:r>
          </w:p>
        </w:tc>
        <w:tc>
          <w:tcPr>
            <w:tcW w:w="4550" w:type="pct"/>
            <w:gridSpan w:val="6"/>
            <w:hideMark/>
          </w:tcPr>
          <w:p w:rsidR="009B65E2" w:rsidRDefault="009B65E2" w:rsidP="009B65E2">
            <w:pPr>
              <w:pStyle w:val="NormalWeb"/>
              <w:spacing w:before="0" w:beforeAutospacing="0" w:after="0" w:afterAutospacing="0"/>
              <w:ind w:left="90" w:right="90"/>
            </w:pPr>
            <w:r>
              <w:rPr>
                <w:rFonts w:ascii="Bookman Old Style" w:hAnsi="Bookman Old Style"/>
              </w:rPr>
              <w:t xml:space="preserve">Ketentuan mekanisme Revisi Anggaran pada Direktorat Jenderal Anggaran sebagaimana dimaksud dalam Pasal 38 berlaku </w:t>
            </w:r>
            <w:r>
              <w:rPr>
                <w:rFonts w:ascii="Bookman Old Style" w:hAnsi="Bookman Old Style"/>
                <w:i/>
                <w:iCs/>
              </w:rPr>
              <w:t>mutatis mutandis</w:t>
            </w:r>
            <w:r>
              <w:rPr>
                <w:rFonts w:ascii="Bookman Old Style" w:hAnsi="Bookman Old Style"/>
              </w:rPr>
              <w:t xml:space="preserve"> dalam penyelesaian revisi dokumen RKA-K/L DIPA Tahun Anggaran 2013 sebagaimana dimaksud pada ayat (1).</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4650" w:type="pct"/>
            <w:gridSpan w:val="7"/>
            <w:hideMark/>
          </w:tcPr>
          <w:p w:rsidR="009B65E2" w:rsidRDefault="009B65E2" w:rsidP="009B65E2">
            <w:pPr>
              <w:pStyle w:val="NormalWeb"/>
              <w:spacing w:before="0" w:beforeAutospacing="0" w:after="0" w:afterAutospacing="0"/>
              <w:ind w:left="90" w:right="90"/>
              <w:jc w:val="center"/>
            </w:pPr>
            <w:r>
              <w:rPr>
                <w:rFonts w:ascii="Bookman Old Style" w:hAnsi="Bookman Old Style"/>
              </w:rPr>
              <w:t>Pasal II</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4650" w:type="pct"/>
            <w:gridSpan w:val="7"/>
            <w:hideMark/>
          </w:tcPr>
          <w:p w:rsidR="009B65E2" w:rsidRDefault="009B65E2" w:rsidP="009B65E2">
            <w:pPr>
              <w:pStyle w:val="NormalWeb"/>
              <w:spacing w:before="0" w:beforeAutospacing="0" w:after="0" w:afterAutospacing="0"/>
              <w:ind w:left="90" w:right="90"/>
            </w:pPr>
            <w:r>
              <w:rPr>
                <w:rFonts w:ascii="Bookman Old Style" w:hAnsi="Bookman Old Style"/>
              </w:rPr>
              <w:t>Peraturan Menteri ini mulai berlaku pada tanggal diundangkan dan berlaku surut sejak tanggal 18 Juni 2013.</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4650" w:type="pct"/>
            <w:gridSpan w:val="7"/>
            <w:hideMark/>
          </w:tcPr>
          <w:p w:rsidR="009B65E2" w:rsidRDefault="009B65E2" w:rsidP="009B65E2">
            <w:pPr>
              <w:pStyle w:val="NormalWeb"/>
              <w:spacing w:before="0" w:beforeAutospacing="0" w:after="0" w:afterAutospacing="0"/>
              <w:ind w:left="90" w:right="90"/>
            </w:pPr>
            <w:r>
              <w:rPr>
                <w:rFonts w:ascii="Bookman Old Style" w:hAnsi="Bookman Old Style"/>
              </w:rPr>
              <w:t>Agar setiap orang mengetahuinya, memerintahkan pengundangan Peraturan Menteri ini dengan penempatannya dalam Berita Negara Republik Indonesia.</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200" w:type="pct"/>
            <w:hideMark/>
          </w:tcPr>
          <w:p w:rsidR="009B65E2" w:rsidRDefault="009B65E2" w:rsidP="009B65E2">
            <w:pPr>
              <w:spacing w:after="0" w:line="240" w:lineRule="auto"/>
              <w:rPr>
                <w:sz w:val="24"/>
                <w:szCs w:val="24"/>
              </w:rPr>
            </w:pPr>
          </w:p>
        </w:tc>
        <w:tc>
          <w:tcPr>
            <w:tcW w:w="200" w:type="pct"/>
            <w:hideMark/>
          </w:tcPr>
          <w:p w:rsidR="009B65E2" w:rsidRDefault="009B65E2" w:rsidP="009B65E2">
            <w:pPr>
              <w:spacing w:after="0" w:line="240" w:lineRule="auto"/>
              <w:rPr>
                <w:sz w:val="24"/>
                <w:szCs w:val="24"/>
              </w:rPr>
            </w:pPr>
          </w:p>
        </w:tc>
        <w:tc>
          <w:tcPr>
            <w:tcW w:w="2150" w:type="pct"/>
            <w:hideMark/>
          </w:tcPr>
          <w:p w:rsidR="009B65E2" w:rsidRDefault="009B65E2" w:rsidP="009B65E2">
            <w:pPr>
              <w:spacing w:after="0" w:line="240" w:lineRule="auto"/>
              <w:rPr>
                <w:sz w:val="24"/>
                <w:szCs w:val="24"/>
              </w:rPr>
            </w:pPr>
          </w:p>
        </w:tc>
        <w:tc>
          <w:tcPr>
            <w:tcW w:w="1550" w:type="pct"/>
            <w:gridSpan w:val="2"/>
            <w:hideMark/>
          </w:tcPr>
          <w:p w:rsidR="009B65E2" w:rsidRDefault="009B65E2" w:rsidP="009B65E2">
            <w:pPr>
              <w:spacing w:after="0" w:line="240" w:lineRule="auto"/>
            </w:pPr>
            <w:r>
              <w:rPr>
                <w:rFonts w:ascii="Bookman Old Style" w:hAnsi="Bookman Old Style"/>
              </w:rPr>
              <w:t>Ditetapkan di Jakarta</w:t>
            </w:r>
            <w:r>
              <w:rPr>
                <w:rFonts w:ascii="Bookman Old Style" w:hAnsi="Bookman Old Style"/>
              </w:rPr>
              <w:br/>
              <w:t>pada tanggal 1 Agustus 2013</w:t>
            </w:r>
            <w:r>
              <w:t xml:space="preserve"> </w:t>
            </w:r>
          </w:p>
          <w:p w:rsidR="009B65E2" w:rsidRDefault="009B65E2" w:rsidP="009B65E2">
            <w:pPr>
              <w:pStyle w:val="NormalWeb"/>
              <w:spacing w:before="0" w:beforeAutospacing="0" w:after="0" w:afterAutospacing="0"/>
            </w:pPr>
            <w:r>
              <w:rPr>
                <w:rFonts w:ascii="Bookman Old Style" w:hAnsi="Bookman Old Style"/>
              </w:rPr>
              <w:t>MENTERI KEUANGAN REPUBLIK INDONESIA,</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200" w:type="pct"/>
            <w:hideMark/>
          </w:tcPr>
          <w:p w:rsidR="009B65E2" w:rsidRDefault="009B65E2" w:rsidP="009B65E2">
            <w:pPr>
              <w:spacing w:after="0" w:line="240" w:lineRule="auto"/>
              <w:rPr>
                <w:sz w:val="24"/>
                <w:szCs w:val="24"/>
              </w:rPr>
            </w:pPr>
          </w:p>
        </w:tc>
        <w:tc>
          <w:tcPr>
            <w:tcW w:w="200" w:type="pct"/>
            <w:hideMark/>
          </w:tcPr>
          <w:p w:rsidR="009B65E2" w:rsidRDefault="009B65E2" w:rsidP="009B65E2">
            <w:pPr>
              <w:spacing w:after="0" w:line="240" w:lineRule="auto"/>
              <w:rPr>
                <w:sz w:val="24"/>
                <w:szCs w:val="24"/>
              </w:rPr>
            </w:pPr>
          </w:p>
        </w:tc>
        <w:tc>
          <w:tcPr>
            <w:tcW w:w="2150" w:type="pct"/>
            <w:hideMark/>
          </w:tcPr>
          <w:p w:rsidR="009B65E2" w:rsidRDefault="009B65E2" w:rsidP="009B65E2">
            <w:pPr>
              <w:spacing w:after="0" w:line="240" w:lineRule="auto"/>
              <w:rPr>
                <w:sz w:val="24"/>
                <w:szCs w:val="24"/>
              </w:rPr>
            </w:pPr>
          </w:p>
        </w:tc>
        <w:tc>
          <w:tcPr>
            <w:tcW w:w="250" w:type="pct"/>
            <w:hideMark/>
          </w:tcPr>
          <w:p w:rsidR="009B65E2" w:rsidRDefault="009B65E2" w:rsidP="009B65E2">
            <w:pPr>
              <w:spacing w:after="0" w:line="240" w:lineRule="auto"/>
              <w:rPr>
                <w:sz w:val="24"/>
                <w:szCs w:val="24"/>
              </w:rPr>
            </w:pPr>
          </w:p>
        </w:tc>
        <w:tc>
          <w:tcPr>
            <w:tcW w:w="1250" w:type="pct"/>
            <w:hideMark/>
          </w:tcPr>
          <w:p w:rsidR="009B65E2" w:rsidRDefault="009B65E2" w:rsidP="009B65E2">
            <w:pPr>
              <w:pStyle w:val="NormalWeb"/>
              <w:spacing w:before="0" w:beforeAutospacing="0" w:after="0" w:afterAutospacing="0"/>
            </w:pPr>
            <w:r>
              <w:rPr>
                <w:rFonts w:ascii="Bookman Old Style" w:hAnsi="Bookman Old Style"/>
              </w:rPr>
              <w:t>ttd.</w:t>
            </w:r>
          </w:p>
        </w:tc>
      </w:tr>
      <w:tr w:rsidR="009B65E2" w:rsidTr="009B65E2">
        <w:trPr>
          <w:tblCellSpacing w:w="0" w:type="dxa"/>
        </w:trPr>
        <w:tc>
          <w:tcPr>
            <w:tcW w:w="5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100" w:type="pct"/>
            <w:hideMark/>
          </w:tcPr>
          <w:p w:rsidR="009B65E2" w:rsidRDefault="009B65E2" w:rsidP="009B65E2">
            <w:pPr>
              <w:spacing w:after="0" w:line="240" w:lineRule="auto"/>
              <w:rPr>
                <w:sz w:val="24"/>
                <w:szCs w:val="24"/>
              </w:rPr>
            </w:pPr>
          </w:p>
        </w:tc>
        <w:tc>
          <w:tcPr>
            <w:tcW w:w="200" w:type="pct"/>
            <w:hideMark/>
          </w:tcPr>
          <w:p w:rsidR="009B65E2" w:rsidRDefault="009B65E2" w:rsidP="009B65E2">
            <w:pPr>
              <w:spacing w:after="0" w:line="240" w:lineRule="auto"/>
              <w:rPr>
                <w:sz w:val="24"/>
                <w:szCs w:val="24"/>
              </w:rPr>
            </w:pPr>
          </w:p>
        </w:tc>
        <w:tc>
          <w:tcPr>
            <w:tcW w:w="200" w:type="pct"/>
            <w:hideMark/>
          </w:tcPr>
          <w:p w:rsidR="009B65E2" w:rsidRDefault="009B65E2" w:rsidP="009B65E2">
            <w:pPr>
              <w:spacing w:after="0" w:line="240" w:lineRule="auto"/>
              <w:rPr>
                <w:sz w:val="24"/>
                <w:szCs w:val="24"/>
              </w:rPr>
            </w:pPr>
          </w:p>
        </w:tc>
        <w:tc>
          <w:tcPr>
            <w:tcW w:w="2150" w:type="pct"/>
            <w:hideMark/>
          </w:tcPr>
          <w:p w:rsidR="009B65E2" w:rsidRDefault="009B65E2" w:rsidP="009B65E2">
            <w:pPr>
              <w:spacing w:after="0" w:line="240" w:lineRule="auto"/>
              <w:rPr>
                <w:sz w:val="24"/>
                <w:szCs w:val="24"/>
              </w:rPr>
            </w:pPr>
          </w:p>
        </w:tc>
        <w:tc>
          <w:tcPr>
            <w:tcW w:w="250" w:type="pct"/>
            <w:hideMark/>
          </w:tcPr>
          <w:p w:rsidR="009B65E2" w:rsidRDefault="009B65E2" w:rsidP="009B65E2">
            <w:pPr>
              <w:spacing w:after="0" w:line="240" w:lineRule="auto"/>
              <w:rPr>
                <w:sz w:val="24"/>
                <w:szCs w:val="24"/>
              </w:rPr>
            </w:pPr>
          </w:p>
        </w:tc>
        <w:tc>
          <w:tcPr>
            <w:tcW w:w="1250" w:type="pct"/>
            <w:hideMark/>
          </w:tcPr>
          <w:p w:rsidR="009B65E2" w:rsidRDefault="009B65E2" w:rsidP="009B65E2">
            <w:pPr>
              <w:spacing w:after="0" w:line="240" w:lineRule="auto"/>
              <w:rPr>
                <w:sz w:val="24"/>
                <w:szCs w:val="24"/>
              </w:rPr>
            </w:pPr>
            <w:r>
              <w:rPr>
                <w:rFonts w:ascii="Bookman Old Style" w:hAnsi="Bookman Old Style"/>
              </w:rPr>
              <w:t>MUHAMAD CHATIB BASRI</w:t>
            </w:r>
          </w:p>
        </w:tc>
      </w:tr>
      <w:tr w:rsidR="009B65E2" w:rsidTr="009B65E2">
        <w:trPr>
          <w:tblCellSpacing w:w="0" w:type="dxa"/>
        </w:trPr>
        <w:tc>
          <w:tcPr>
            <w:tcW w:w="3450" w:type="pct"/>
            <w:gridSpan w:val="7"/>
            <w:hideMark/>
          </w:tcPr>
          <w:p w:rsidR="009B65E2" w:rsidRDefault="009B65E2" w:rsidP="009B65E2">
            <w:pPr>
              <w:spacing w:after="0" w:line="240" w:lineRule="auto"/>
              <w:rPr>
                <w:sz w:val="24"/>
                <w:szCs w:val="24"/>
              </w:rPr>
            </w:pPr>
            <w:r>
              <w:rPr>
                <w:rFonts w:ascii="Bookman Old Style" w:hAnsi="Bookman Old Style"/>
              </w:rPr>
              <w:t>Diundangkan di Jakarta</w:t>
            </w:r>
            <w:r>
              <w:rPr>
                <w:rFonts w:ascii="Bookman Old Style" w:hAnsi="Bookman Old Style"/>
              </w:rPr>
              <w:br/>
              <w:t>pada tanggal 6 Agustus 2013</w:t>
            </w:r>
            <w:r>
              <w:rPr>
                <w:rFonts w:ascii="Bookman Old Style" w:hAnsi="Bookman Old Style"/>
              </w:rPr>
              <w:br/>
              <w:t xml:space="preserve">MENTERI HUKUM DAN HAK ASASI MANUSIA </w:t>
            </w:r>
          </w:p>
        </w:tc>
        <w:tc>
          <w:tcPr>
            <w:tcW w:w="250" w:type="pct"/>
            <w:hideMark/>
          </w:tcPr>
          <w:p w:rsidR="009B65E2" w:rsidRDefault="009B65E2" w:rsidP="009B65E2">
            <w:pPr>
              <w:spacing w:after="0" w:line="240" w:lineRule="auto"/>
              <w:rPr>
                <w:sz w:val="24"/>
                <w:szCs w:val="24"/>
              </w:rPr>
            </w:pPr>
          </w:p>
        </w:tc>
        <w:tc>
          <w:tcPr>
            <w:tcW w:w="1250" w:type="pct"/>
            <w:hideMark/>
          </w:tcPr>
          <w:p w:rsidR="009B65E2" w:rsidRDefault="009B65E2" w:rsidP="009B65E2">
            <w:pPr>
              <w:spacing w:after="0" w:line="240" w:lineRule="auto"/>
              <w:rPr>
                <w:sz w:val="24"/>
                <w:szCs w:val="24"/>
              </w:rPr>
            </w:pPr>
          </w:p>
        </w:tc>
      </w:tr>
      <w:tr w:rsidR="009B65E2" w:rsidTr="009B65E2">
        <w:trPr>
          <w:tblCellSpacing w:w="0" w:type="dxa"/>
        </w:trPr>
        <w:tc>
          <w:tcPr>
            <w:tcW w:w="3450" w:type="pct"/>
            <w:gridSpan w:val="7"/>
            <w:hideMark/>
          </w:tcPr>
          <w:p w:rsidR="009B65E2" w:rsidRDefault="009B65E2" w:rsidP="009B65E2">
            <w:pPr>
              <w:spacing w:after="0" w:line="240" w:lineRule="auto"/>
              <w:rPr>
                <w:sz w:val="24"/>
                <w:szCs w:val="24"/>
              </w:rPr>
            </w:pPr>
            <w:r>
              <w:rPr>
                <w:rFonts w:ascii="Bookman Old Style" w:hAnsi="Bookman Old Style"/>
              </w:rPr>
              <w:t>REPUBLIK INDONESIA,</w:t>
            </w:r>
          </w:p>
        </w:tc>
        <w:tc>
          <w:tcPr>
            <w:tcW w:w="250" w:type="pct"/>
            <w:hideMark/>
          </w:tcPr>
          <w:p w:rsidR="009B65E2" w:rsidRDefault="009B65E2" w:rsidP="009B65E2">
            <w:pPr>
              <w:spacing w:after="0" w:line="240" w:lineRule="auto"/>
              <w:rPr>
                <w:sz w:val="24"/>
                <w:szCs w:val="24"/>
              </w:rPr>
            </w:pPr>
          </w:p>
        </w:tc>
        <w:tc>
          <w:tcPr>
            <w:tcW w:w="1250" w:type="pct"/>
            <w:hideMark/>
          </w:tcPr>
          <w:p w:rsidR="009B65E2" w:rsidRDefault="009B65E2" w:rsidP="009B65E2">
            <w:pPr>
              <w:spacing w:after="0" w:line="240" w:lineRule="auto"/>
              <w:rPr>
                <w:sz w:val="24"/>
                <w:szCs w:val="24"/>
              </w:rPr>
            </w:pPr>
          </w:p>
        </w:tc>
      </w:tr>
      <w:tr w:rsidR="009B65E2" w:rsidTr="009B65E2">
        <w:trPr>
          <w:tblCellSpacing w:w="0" w:type="dxa"/>
        </w:trPr>
        <w:tc>
          <w:tcPr>
            <w:tcW w:w="3350" w:type="pct"/>
            <w:gridSpan w:val="7"/>
            <w:hideMark/>
          </w:tcPr>
          <w:p w:rsidR="009B65E2" w:rsidRDefault="009B65E2" w:rsidP="009B65E2">
            <w:pPr>
              <w:pStyle w:val="NormalWeb"/>
              <w:spacing w:before="0" w:beforeAutospacing="0" w:after="0" w:afterAutospacing="0"/>
            </w:pPr>
            <w:r>
              <w:rPr>
                <w:rFonts w:ascii="Bookman Old Style" w:hAnsi="Bookman Old Style"/>
              </w:rPr>
              <w:t>ttd.</w:t>
            </w:r>
          </w:p>
        </w:tc>
        <w:tc>
          <w:tcPr>
            <w:tcW w:w="250" w:type="pct"/>
            <w:hideMark/>
          </w:tcPr>
          <w:p w:rsidR="009B65E2" w:rsidRDefault="009B65E2" w:rsidP="009B65E2">
            <w:pPr>
              <w:spacing w:after="0" w:line="240" w:lineRule="auto"/>
              <w:rPr>
                <w:sz w:val="24"/>
                <w:szCs w:val="24"/>
              </w:rPr>
            </w:pPr>
          </w:p>
        </w:tc>
        <w:tc>
          <w:tcPr>
            <w:tcW w:w="1250" w:type="pct"/>
            <w:hideMark/>
          </w:tcPr>
          <w:p w:rsidR="009B65E2" w:rsidRDefault="009B65E2" w:rsidP="009B65E2">
            <w:pPr>
              <w:spacing w:after="0" w:line="240" w:lineRule="auto"/>
              <w:rPr>
                <w:sz w:val="24"/>
                <w:szCs w:val="24"/>
              </w:rPr>
            </w:pPr>
          </w:p>
        </w:tc>
      </w:tr>
      <w:tr w:rsidR="009B65E2" w:rsidTr="009B65E2">
        <w:trPr>
          <w:tblCellSpacing w:w="0" w:type="dxa"/>
        </w:trPr>
        <w:tc>
          <w:tcPr>
            <w:tcW w:w="3450" w:type="pct"/>
            <w:gridSpan w:val="7"/>
            <w:hideMark/>
          </w:tcPr>
          <w:p w:rsidR="009B65E2" w:rsidRDefault="009B65E2" w:rsidP="009B65E2">
            <w:pPr>
              <w:spacing w:after="0" w:line="240" w:lineRule="auto"/>
              <w:rPr>
                <w:sz w:val="24"/>
                <w:szCs w:val="24"/>
              </w:rPr>
            </w:pPr>
            <w:r>
              <w:rPr>
                <w:rFonts w:ascii="Bookman Old Style" w:hAnsi="Bookman Old Style"/>
              </w:rPr>
              <w:t>AMIR SYAMSUDIN</w:t>
            </w:r>
          </w:p>
        </w:tc>
        <w:tc>
          <w:tcPr>
            <w:tcW w:w="250" w:type="pct"/>
            <w:hideMark/>
          </w:tcPr>
          <w:p w:rsidR="009B65E2" w:rsidRDefault="009B65E2" w:rsidP="009B65E2">
            <w:pPr>
              <w:spacing w:after="0" w:line="240" w:lineRule="auto"/>
              <w:rPr>
                <w:sz w:val="24"/>
                <w:szCs w:val="24"/>
              </w:rPr>
            </w:pPr>
          </w:p>
        </w:tc>
        <w:tc>
          <w:tcPr>
            <w:tcW w:w="1250" w:type="pct"/>
            <w:hideMark/>
          </w:tcPr>
          <w:p w:rsidR="009B65E2" w:rsidRDefault="009B65E2" w:rsidP="009B65E2">
            <w:pPr>
              <w:spacing w:after="0" w:line="240" w:lineRule="auto"/>
              <w:rPr>
                <w:sz w:val="24"/>
                <w:szCs w:val="24"/>
              </w:rPr>
            </w:pPr>
          </w:p>
        </w:tc>
      </w:tr>
      <w:tr w:rsidR="009B65E2" w:rsidTr="009B65E2">
        <w:trPr>
          <w:tblCellSpacing w:w="0" w:type="dxa"/>
        </w:trPr>
        <w:tc>
          <w:tcPr>
            <w:tcW w:w="5200" w:type="pct"/>
            <w:gridSpan w:val="9"/>
            <w:hideMark/>
          </w:tcPr>
          <w:p w:rsidR="009B65E2" w:rsidRDefault="009B65E2" w:rsidP="009B65E2">
            <w:pPr>
              <w:spacing w:after="0" w:line="240" w:lineRule="auto"/>
              <w:rPr>
                <w:sz w:val="24"/>
                <w:szCs w:val="24"/>
              </w:rPr>
            </w:pPr>
            <w:r>
              <w:rPr>
                <w:rFonts w:ascii="Bookman Old Style" w:hAnsi="Bookman Old Style"/>
              </w:rPr>
              <w:t>BERITA NEGARA REPUBLIK INDONESIA TAHUN 2013 NOMOR 1009</w:t>
            </w:r>
          </w:p>
        </w:tc>
      </w:tr>
    </w:tbl>
    <w:p w:rsidR="00ED5E49" w:rsidRPr="00E30715" w:rsidRDefault="00ED5E49" w:rsidP="009B65E2">
      <w:pPr>
        <w:spacing w:after="0" w:line="240" w:lineRule="auto"/>
      </w:pPr>
    </w:p>
    <w:sectPr w:rsidR="00ED5E49" w:rsidRPr="00E30715" w:rsidSect="00155A4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D4" w:rsidRDefault="00A46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70424D5F" wp14:editId="3A9F2B6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A462D4" w:rsidRPr="00A462D4">
                            <w:rPr>
                              <w:rFonts w:asciiTheme="majorHAnsi" w:hAnsiTheme="majorHAnsi"/>
                              <w:i/>
                              <w:iCs/>
                              <w:noProof/>
                              <w:sz w:val="20"/>
                              <w:szCs w:val="20"/>
                            </w:rPr>
                            <w:t>D:\My Stuffs</w:t>
                          </w:r>
                          <w:r w:rsidR="00A462D4">
                            <w:rPr>
                              <w:rFonts w:asciiTheme="majorHAnsi" w:hAnsiTheme="majorHAnsi"/>
                              <w:i/>
                              <w:noProof/>
                              <w:sz w:val="20"/>
                              <w:szCs w:val="20"/>
                            </w:rPr>
                            <w:t>\luk.tsipil.ugm.ac.id\atur\dipa\Permenkeu117-PMK-02-2013RevisiAnggaran.docx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A462D4" w:rsidRPr="00A462D4">
                            <w:rPr>
                              <w:rFonts w:asciiTheme="majorHAnsi" w:hAnsiTheme="majorHAnsi"/>
                              <w:i/>
                              <w:iCs/>
                              <w:noProof/>
                              <w:sz w:val="20"/>
                              <w:szCs w:val="20"/>
                            </w:rPr>
                            <w:t>56</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A462D4">
                            <w:rPr>
                              <w:rFonts w:asciiTheme="majorHAnsi" w:hAnsiTheme="majorHAnsi"/>
                              <w:i/>
                              <w:iCs/>
                              <w:noProof/>
                              <w:sz w:val="20"/>
                              <w:szCs w:val="20"/>
                            </w:rPr>
                            <w:t>Minggu, 22 Desember 2013</w:t>
                          </w:r>
                          <w:r w:rsidRPr="00155A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A462D4" w:rsidRPr="00A462D4">
                      <w:rPr>
                        <w:rFonts w:asciiTheme="majorHAnsi" w:hAnsiTheme="majorHAnsi"/>
                        <w:i/>
                        <w:iCs/>
                        <w:noProof/>
                        <w:sz w:val="20"/>
                        <w:szCs w:val="20"/>
                      </w:rPr>
                      <w:t>D:\My Stuffs</w:t>
                    </w:r>
                    <w:r w:rsidR="00A462D4">
                      <w:rPr>
                        <w:rFonts w:asciiTheme="majorHAnsi" w:hAnsiTheme="majorHAnsi"/>
                        <w:i/>
                        <w:noProof/>
                        <w:sz w:val="20"/>
                        <w:szCs w:val="20"/>
                      </w:rPr>
                      <w:t>\luk.tsipil.ugm.ac.id\atur\dipa\Permenkeu117-PMK-02-2013RevisiAnggaran.docx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A462D4" w:rsidRPr="00A462D4">
                      <w:rPr>
                        <w:rFonts w:asciiTheme="majorHAnsi" w:hAnsiTheme="majorHAnsi"/>
                        <w:i/>
                        <w:iCs/>
                        <w:noProof/>
                        <w:sz w:val="20"/>
                        <w:szCs w:val="20"/>
                      </w:rPr>
                      <w:t>56</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A462D4">
                      <w:rPr>
                        <w:rFonts w:asciiTheme="majorHAnsi" w:hAnsiTheme="majorHAnsi"/>
                        <w:i/>
                        <w:iCs/>
                        <w:noProof/>
                        <w:sz w:val="20"/>
                        <w:szCs w:val="20"/>
                      </w:rPr>
                      <w:t>Minggu, 22 Desember 2013</w:t>
                    </w:r>
                    <w:r w:rsidRPr="00155A49">
                      <w:rPr>
                        <w:rFonts w:asciiTheme="majorHAnsi" w:hAnsiTheme="majorHAnsi"/>
                        <w:i/>
                        <w:iCs/>
                        <w:sz w:val="20"/>
                        <w:szCs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A462D4">
      <w:rPr>
        <w:rStyle w:val="PageNumber"/>
        <w:noProof/>
        <w:sz w:val="18"/>
        <w:szCs w:val="18"/>
        <w:lang w:val="es-ES"/>
      </w:rPr>
      <w:t>1</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D4" w:rsidRDefault="00A46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D4" w:rsidRDefault="00A46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D4" w:rsidRDefault="00A462D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D4" w:rsidRDefault="00A46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B65E2"/>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2D4"/>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NormalWeb">
    <w:name w:val="Normal (Web)"/>
    <w:basedOn w:val="Normal"/>
    <w:uiPriority w:val="99"/>
    <w:unhideWhenUsed/>
    <w:rsid w:val="009B65E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NormalWeb">
    <w:name w:val="Normal (Web)"/>
    <w:basedOn w:val="Normal"/>
    <w:uiPriority w:val="99"/>
    <w:unhideWhenUsed/>
    <w:rsid w:val="009B65E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029">
      <w:bodyDiv w:val="1"/>
      <w:marLeft w:val="0"/>
      <w:marRight w:val="0"/>
      <w:marTop w:val="0"/>
      <w:marBottom w:val="0"/>
      <w:divBdr>
        <w:top w:val="none" w:sz="0" w:space="0" w:color="auto"/>
        <w:left w:val="none" w:sz="0" w:space="0" w:color="auto"/>
        <w:bottom w:val="none" w:sz="0" w:space="0" w:color="auto"/>
        <w:right w:val="none" w:sz="0" w:space="0" w:color="auto"/>
      </w:divBdr>
    </w:div>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kemenkeu.go.id/fulltext/2013/32~PMK.02~2013Per.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jdih.kemenkeu.go.id/fulltext/2013/15TAHUN2013UU.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jdih.kemenkeu.go.id/fulltext/2012/19TAHUN2012UU.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cp:lastPrinted>2013-06-30T08:54:00Z</cp:lastPrinted>
  <dcterms:created xsi:type="dcterms:W3CDTF">2013-12-22T12:22:00Z</dcterms:created>
  <dcterms:modified xsi:type="dcterms:W3CDTF">2013-12-22T12:24:00Z</dcterms:modified>
  <cp:category>Produk Hukum</cp:category>
</cp:coreProperties>
</file>